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360" w:lineRule="auto"/>
        <w:rPr>
          <w:rFonts w:ascii="微软雅黑" w:hAnsi="微软雅黑" w:eastAsia="微软雅黑" w:cs="微软雅黑"/>
          <w:b/>
          <w:bCs/>
          <w:sz w:val="32"/>
          <w:szCs w:val="32"/>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32"/>
          <w:szCs w:val="32"/>
        </w:rPr>
        <w:drawing>
          <wp:anchor distT="0" distB="0" distL="114300" distR="114300" simplePos="0" relativeHeight="251658240" behindDoc="0" locked="0" layoutInCell="1" allowOverlap="1">
            <wp:simplePos x="0" y="0"/>
            <wp:positionH relativeFrom="column">
              <wp:posOffset>-1188720</wp:posOffset>
            </wp:positionH>
            <wp:positionV relativeFrom="paragraph">
              <wp:posOffset>-1188720</wp:posOffset>
            </wp:positionV>
            <wp:extent cx="7738110" cy="10946130"/>
            <wp:effectExtent l="0" t="0" r="15240" b="7620"/>
            <wp:wrapNone/>
            <wp:docPr id="2" name="图片 2" descr="中国数字教育用户体验与投诉数据报告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中国数字教育用户体验与投诉数据报告 (1)"/>
                    <pic:cNvPicPr>
                      <a:picLocks noChangeAspect="1"/>
                    </pic:cNvPicPr>
                  </pic:nvPicPr>
                  <pic:blipFill>
                    <a:blip r:embed="rId6"/>
                    <a:stretch>
                      <a:fillRect/>
                    </a:stretch>
                  </pic:blipFill>
                  <pic:spPr>
                    <a:xfrm>
                      <a:off x="0" y="0"/>
                      <a:ext cx="7738110" cy="10946130"/>
                    </a:xfrm>
                    <a:prstGeom prst="rect">
                      <a:avLst/>
                    </a:prstGeom>
                  </pic:spPr>
                </pic:pic>
              </a:graphicData>
            </a:graphic>
          </wp:anchor>
        </w:drawing>
      </w:r>
    </w:p>
    <w:sdt>
      <w:sdtPr>
        <w:rPr>
          <w:rFonts w:ascii="宋体" w:hAnsi="宋体" w:eastAsia="宋体"/>
        </w:rPr>
        <w:id w:val="147462158"/>
        <w:docPartObj>
          <w:docPartGallery w:val="Table of Contents"/>
          <w:docPartUnique/>
        </w:docPartObj>
      </w:sdtPr>
      <w:sdtEndPr>
        <w:rPr>
          <w:rFonts w:asciiTheme="minorHAnsi" w:hAnsiTheme="minorHAnsi" w:eastAsiaTheme="minorEastAsia"/>
          <w:b/>
          <w:sz w:val="24"/>
        </w:rPr>
      </w:sdtEndPr>
      <w:sdtContent>
        <w:p>
          <w:pPr>
            <w:jc w:val="center"/>
          </w:pPr>
          <w:r>
            <w:rPr>
              <w:rFonts w:ascii="宋体" w:hAnsi="宋体" w:eastAsia="宋体"/>
            </w:rPr>
            <w:t>目录</w:t>
          </w:r>
        </w:p>
        <w:p>
          <w:pPr>
            <w:pStyle w:val="8"/>
            <w:tabs>
              <w:tab w:val="right" w:leader="dot" w:pos="8306"/>
            </w:tabs>
            <w:rPr>
              <w:b/>
              <w:bCs/>
              <w:sz w:val="32"/>
              <w:szCs w:val="32"/>
            </w:rPr>
          </w:pPr>
          <w:r>
            <w:rPr>
              <w:rFonts w:hint="eastAsia" w:asciiTheme="minorEastAsia" w:hAnsiTheme="minorEastAsia" w:cstheme="minorEastAsia"/>
              <w:sz w:val="24"/>
            </w:rPr>
            <w:fldChar w:fldCharType="begin"/>
          </w:r>
          <w:r>
            <w:rPr>
              <w:rFonts w:hint="eastAsia" w:asciiTheme="minorEastAsia" w:hAnsiTheme="minorEastAsia" w:cstheme="minorEastAsia"/>
              <w:sz w:val="24"/>
            </w:rPr>
            <w:instrText xml:space="preserve">TOC \o "1-2" \h \u </w:instrText>
          </w:r>
          <w:r>
            <w:rPr>
              <w:rFonts w:hint="eastAsia" w:asciiTheme="minorEastAsia" w:hAnsiTheme="minorEastAsia" w:cstheme="minorEastAsia"/>
              <w:sz w:val="24"/>
            </w:rPr>
            <w:fldChar w:fldCharType="separate"/>
          </w:r>
          <w:r>
            <w:fldChar w:fldCharType="begin"/>
          </w:r>
          <w:r>
            <w:instrText xml:space="preserve"> HYPERLINK \l "_Toc30145" </w:instrText>
          </w:r>
          <w:r>
            <w:fldChar w:fldCharType="separate"/>
          </w:r>
          <w:r>
            <w:rPr>
              <w:rFonts w:hint="eastAsia" w:ascii="微软雅黑" w:hAnsi="微软雅黑" w:eastAsia="微软雅黑" w:cs="微软雅黑"/>
              <w:b/>
              <w:bCs/>
              <w:sz w:val="32"/>
              <w:szCs w:val="32"/>
            </w:rPr>
            <w:t>一、报告摘要</w:t>
          </w:r>
          <w:r>
            <w:rPr>
              <w:b/>
              <w:bCs/>
              <w:sz w:val="32"/>
              <w:szCs w:val="32"/>
            </w:rPr>
            <w:tab/>
          </w:r>
          <w:r>
            <w:rPr>
              <w:b/>
              <w:bCs/>
              <w:sz w:val="32"/>
              <w:szCs w:val="32"/>
            </w:rPr>
            <w:fldChar w:fldCharType="begin"/>
          </w:r>
          <w:r>
            <w:rPr>
              <w:b/>
              <w:bCs/>
              <w:sz w:val="32"/>
              <w:szCs w:val="32"/>
            </w:rPr>
            <w:instrText xml:space="preserve"> PAGEREF _Toc30145 </w:instrText>
          </w:r>
          <w:r>
            <w:rPr>
              <w:b/>
              <w:bCs/>
              <w:sz w:val="32"/>
              <w:szCs w:val="32"/>
            </w:rPr>
            <w:fldChar w:fldCharType="separate"/>
          </w:r>
          <w:r>
            <w:rPr>
              <w:b/>
              <w:bCs/>
              <w:sz w:val="32"/>
              <w:szCs w:val="32"/>
            </w:rPr>
            <w:t>3</w:t>
          </w:r>
          <w:r>
            <w:rPr>
              <w:b/>
              <w:bCs/>
              <w:sz w:val="32"/>
              <w:szCs w:val="32"/>
            </w:rPr>
            <w:fldChar w:fldCharType="end"/>
          </w:r>
          <w:r>
            <w:rPr>
              <w:b/>
              <w:bCs/>
              <w:sz w:val="32"/>
              <w:szCs w:val="32"/>
            </w:rPr>
            <w:fldChar w:fldCharType="end"/>
          </w:r>
        </w:p>
        <w:p>
          <w:pPr>
            <w:pStyle w:val="8"/>
            <w:tabs>
              <w:tab w:val="right" w:leader="dot" w:pos="8306"/>
            </w:tabs>
            <w:rPr>
              <w:b/>
              <w:bCs/>
              <w:sz w:val="32"/>
              <w:szCs w:val="32"/>
            </w:rPr>
          </w:pPr>
          <w:r>
            <w:fldChar w:fldCharType="begin"/>
          </w:r>
          <w:r>
            <w:instrText xml:space="preserve"> HYPERLINK \l "_Toc16281" </w:instrText>
          </w:r>
          <w:r>
            <w:fldChar w:fldCharType="separate"/>
          </w:r>
          <w:r>
            <w:rPr>
              <w:rFonts w:hint="eastAsia" w:ascii="微软雅黑" w:hAnsi="微软雅黑" w:eastAsia="微软雅黑" w:cs="微软雅黑"/>
              <w:b/>
              <w:bCs/>
              <w:sz w:val="32"/>
              <w:szCs w:val="32"/>
            </w:rPr>
            <w:t>二、整体数据</w:t>
          </w:r>
          <w:r>
            <w:rPr>
              <w:b/>
              <w:bCs/>
              <w:sz w:val="32"/>
              <w:szCs w:val="32"/>
            </w:rPr>
            <w:tab/>
          </w:r>
          <w:r>
            <w:rPr>
              <w:b/>
              <w:bCs/>
              <w:sz w:val="32"/>
              <w:szCs w:val="32"/>
            </w:rPr>
            <w:fldChar w:fldCharType="begin"/>
          </w:r>
          <w:r>
            <w:rPr>
              <w:b/>
              <w:bCs/>
              <w:sz w:val="32"/>
              <w:szCs w:val="32"/>
            </w:rPr>
            <w:instrText xml:space="preserve"> PAGEREF _Toc16281 </w:instrText>
          </w:r>
          <w:r>
            <w:rPr>
              <w:b/>
              <w:bCs/>
              <w:sz w:val="32"/>
              <w:szCs w:val="32"/>
            </w:rPr>
            <w:fldChar w:fldCharType="separate"/>
          </w:r>
          <w:r>
            <w:rPr>
              <w:b/>
              <w:bCs/>
              <w:sz w:val="32"/>
              <w:szCs w:val="32"/>
            </w:rPr>
            <w:t>5</w:t>
          </w:r>
          <w:r>
            <w:rPr>
              <w:b/>
              <w:bCs/>
              <w:sz w:val="32"/>
              <w:szCs w:val="32"/>
            </w:rPr>
            <w:fldChar w:fldCharType="end"/>
          </w:r>
          <w:r>
            <w:rPr>
              <w:b/>
              <w:bCs/>
              <w:sz w:val="32"/>
              <w:szCs w:val="32"/>
            </w:rPr>
            <w:fldChar w:fldCharType="end"/>
          </w:r>
        </w:p>
        <w:p>
          <w:pPr>
            <w:pStyle w:val="9"/>
            <w:tabs>
              <w:tab w:val="right" w:leader="dot" w:pos="8306"/>
            </w:tabs>
            <w:spacing w:before="156" w:beforeLines="50"/>
          </w:pPr>
          <w:r>
            <w:fldChar w:fldCharType="begin"/>
          </w:r>
          <w:r>
            <w:instrText xml:space="preserve"> HYPERLINK \l "_Toc19287" </w:instrText>
          </w:r>
          <w:r>
            <w:fldChar w:fldCharType="separate"/>
          </w:r>
          <w:r>
            <w:rPr>
              <w:rFonts w:hint="eastAsia"/>
            </w:rPr>
            <w:t>（一）投诉问题类型分布</w:t>
          </w:r>
          <w:r>
            <w:tab/>
          </w:r>
          <w:r>
            <w:fldChar w:fldCharType="begin"/>
          </w:r>
          <w:r>
            <w:instrText xml:space="preserve"> PAGEREF _Toc19287 </w:instrText>
          </w:r>
          <w:r>
            <w:fldChar w:fldCharType="separate"/>
          </w:r>
          <w:r>
            <w:t>5</w:t>
          </w:r>
          <w:r>
            <w:fldChar w:fldCharType="end"/>
          </w:r>
          <w:r>
            <w:fldChar w:fldCharType="end"/>
          </w:r>
        </w:p>
        <w:p>
          <w:pPr>
            <w:pStyle w:val="9"/>
            <w:tabs>
              <w:tab w:val="right" w:leader="dot" w:pos="8306"/>
            </w:tabs>
            <w:spacing w:before="156" w:beforeLines="50"/>
          </w:pPr>
          <w:r>
            <w:fldChar w:fldCharType="begin"/>
          </w:r>
          <w:r>
            <w:instrText xml:space="preserve"> HYPERLINK \l "_Toc24935" </w:instrText>
          </w:r>
          <w:r>
            <w:fldChar w:fldCharType="separate"/>
          </w:r>
          <w:r>
            <w:rPr>
              <w:rFonts w:hint="eastAsia"/>
            </w:rPr>
            <w:t>（二）投诉地区分布</w:t>
          </w:r>
          <w:r>
            <w:tab/>
          </w:r>
          <w:r>
            <w:fldChar w:fldCharType="begin"/>
          </w:r>
          <w:r>
            <w:instrText xml:space="preserve"> PAGEREF _Toc24935 </w:instrText>
          </w:r>
          <w:r>
            <w:fldChar w:fldCharType="separate"/>
          </w:r>
          <w:r>
            <w:t>5</w:t>
          </w:r>
          <w:r>
            <w:fldChar w:fldCharType="end"/>
          </w:r>
          <w:r>
            <w:fldChar w:fldCharType="end"/>
          </w:r>
        </w:p>
        <w:p>
          <w:pPr>
            <w:pStyle w:val="9"/>
            <w:tabs>
              <w:tab w:val="right" w:leader="dot" w:pos="8306"/>
            </w:tabs>
            <w:spacing w:before="156" w:beforeLines="50"/>
          </w:pPr>
          <w:r>
            <w:fldChar w:fldCharType="begin"/>
          </w:r>
          <w:r>
            <w:instrText xml:space="preserve"> HYPERLINK \l "_Toc11980" </w:instrText>
          </w:r>
          <w:r>
            <w:fldChar w:fldCharType="separate"/>
          </w:r>
          <w:r>
            <w:rPr>
              <w:rFonts w:hint="eastAsia"/>
            </w:rPr>
            <w:t>（三）投诉用户性别分布</w:t>
          </w:r>
          <w:r>
            <w:tab/>
          </w:r>
          <w:r>
            <w:fldChar w:fldCharType="begin"/>
          </w:r>
          <w:r>
            <w:instrText xml:space="preserve"> PAGEREF _Toc11980 </w:instrText>
          </w:r>
          <w:r>
            <w:fldChar w:fldCharType="separate"/>
          </w:r>
          <w:r>
            <w:t>6</w:t>
          </w:r>
          <w:r>
            <w:fldChar w:fldCharType="end"/>
          </w:r>
          <w:r>
            <w:fldChar w:fldCharType="end"/>
          </w:r>
        </w:p>
        <w:p>
          <w:pPr>
            <w:pStyle w:val="9"/>
            <w:tabs>
              <w:tab w:val="right" w:leader="dot" w:pos="8306"/>
            </w:tabs>
            <w:spacing w:before="156" w:beforeLines="50"/>
          </w:pPr>
          <w:r>
            <w:fldChar w:fldCharType="begin"/>
          </w:r>
          <w:r>
            <w:instrText xml:space="preserve"> HYPERLINK \l "_Toc25228" </w:instrText>
          </w:r>
          <w:r>
            <w:fldChar w:fldCharType="separate"/>
          </w:r>
          <w:r>
            <w:rPr>
              <w:rFonts w:hint="eastAsia"/>
            </w:rPr>
            <w:t>（四）投诉金额区间分布</w:t>
          </w:r>
          <w:r>
            <w:tab/>
          </w:r>
          <w:r>
            <w:fldChar w:fldCharType="begin"/>
          </w:r>
          <w:r>
            <w:instrText xml:space="preserve"> PAGEREF _Toc25228 </w:instrText>
          </w:r>
          <w:r>
            <w:fldChar w:fldCharType="separate"/>
          </w:r>
          <w:r>
            <w:t>7</w:t>
          </w:r>
          <w:r>
            <w:fldChar w:fldCharType="end"/>
          </w:r>
          <w:r>
            <w:fldChar w:fldCharType="end"/>
          </w:r>
        </w:p>
        <w:p>
          <w:pPr>
            <w:pStyle w:val="8"/>
            <w:tabs>
              <w:tab w:val="right" w:leader="dot" w:pos="8306"/>
            </w:tabs>
            <w:rPr>
              <w:b/>
              <w:bCs/>
              <w:sz w:val="32"/>
              <w:szCs w:val="32"/>
            </w:rPr>
          </w:pPr>
          <w:r>
            <w:fldChar w:fldCharType="begin"/>
          </w:r>
          <w:r>
            <w:instrText xml:space="preserve"> HYPERLINK \l "_Toc31217" </w:instrText>
          </w:r>
          <w:r>
            <w:fldChar w:fldCharType="separate"/>
          </w:r>
          <w:r>
            <w:rPr>
              <w:rFonts w:hint="eastAsia" w:ascii="微软雅黑" w:hAnsi="微软雅黑" w:eastAsia="微软雅黑" w:cs="微软雅黑"/>
              <w:b/>
              <w:bCs/>
              <w:sz w:val="32"/>
              <w:szCs w:val="32"/>
            </w:rPr>
            <w:t>三、评级数据与典型案例</w:t>
          </w:r>
          <w:r>
            <w:rPr>
              <w:b/>
              <w:bCs/>
              <w:sz w:val="32"/>
              <w:szCs w:val="32"/>
            </w:rPr>
            <w:tab/>
          </w:r>
          <w:r>
            <w:rPr>
              <w:rFonts w:hint="eastAsia"/>
              <w:b/>
              <w:bCs/>
              <w:sz w:val="32"/>
              <w:szCs w:val="32"/>
            </w:rPr>
            <w:t>8</w:t>
          </w:r>
          <w:r>
            <w:rPr>
              <w:rFonts w:hint="eastAsia"/>
              <w:b/>
              <w:bCs/>
              <w:sz w:val="32"/>
              <w:szCs w:val="32"/>
            </w:rPr>
            <w:fldChar w:fldCharType="end"/>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"_Toc18568" </w:instrText>
          </w:r>
          <w:r>
            <w:fldChar w:fldCharType="separate"/>
          </w:r>
          <w:r>
            <w:rPr>
              <w:rFonts w:hint="eastAsia" w:asciiTheme="minorEastAsia" w:hAnsiTheme="minorEastAsia" w:cstheme="minorEastAsia"/>
            </w:rPr>
            <w:t>（一）2024年Q4“</w:t>
          </w:r>
          <w:r>
            <w:rPr>
              <w:rFonts w:hint="eastAsia" w:asciiTheme="minorEastAsia" w:hAnsiTheme="minorEastAsia" w:cstheme="minorEastAsia"/>
              <w:b/>
              <w:bCs/>
            </w:rPr>
            <w:t>网易云课堂</w:t>
          </w:r>
          <w:r>
            <w:rPr>
              <w:rFonts w:hint="eastAsia" w:asciiTheme="minorEastAsia" w:hAnsiTheme="minorEastAsia" w:cstheme="minorEastAsia"/>
            </w:rPr>
            <w:t>”获“建议下单”</w:t>
          </w:r>
          <w:r>
            <w:rPr>
              <w:rFonts w:hint="eastAsia" w:asciiTheme="minorEastAsia" w:hAnsiTheme="minorEastAsia" w:cstheme="minorEastAsia"/>
            </w:rPr>
            <w:tab/>
          </w:r>
          <w:r>
            <w:rPr>
              <w:rFonts w:hint="eastAsia" w:asciiTheme="minorEastAsia" w:hAnsiTheme="minorEastAsia" w:cstheme="minorEastAsia"/>
            </w:rPr>
            <w:t>8</w:t>
          </w:r>
          <w:r>
            <w:rPr>
              <w:rFonts w:hint="eastAsia" w:asciiTheme="minorEastAsia" w:hAnsiTheme="minorEastAsia" w:cstheme="minorEastAsia"/>
            </w:rPr>
            <w:fldChar w:fldCharType="end"/>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"_Toc22624" </w:instrText>
          </w:r>
          <w:r>
            <w:fldChar w:fldCharType="separate"/>
          </w:r>
          <w:r>
            <w:rPr>
              <w:rFonts w:hint="eastAsia" w:asciiTheme="minorEastAsia" w:hAnsiTheme="minorEastAsia" w:cstheme="minorEastAsia"/>
            </w:rPr>
            <w:t>（二）2024年Q4“</w:t>
          </w:r>
          <w:r>
            <w:rPr>
              <w:rFonts w:hint="eastAsia" w:asciiTheme="minorEastAsia" w:hAnsiTheme="minorEastAsia" w:cstheme="minorEastAsia"/>
              <w:b/>
              <w:bCs/>
            </w:rPr>
            <w:t>帮考网</w:t>
          </w:r>
          <w:r>
            <w:rPr>
              <w:rFonts w:hint="eastAsia" w:asciiTheme="minorEastAsia" w:hAnsiTheme="minorEastAsia" w:cstheme="minorEastAsia"/>
            </w:rPr>
            <w:t>”获“谨慎下单”</w:t>
          </w:r>
          <w:r>
            <w:rPr>
              <w:rFonts w:hint="eastAsia" w:asciiTheme="minorEastAsia" w:hAnsiTheme="minorEastAsia" w:cstheme="minorEastAsia"/>
            </w:rPr>
            <w:tab/>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rPr>
            <w:t>0</w:t>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"_Toc18478" </w:instrText>
          </w:r>
          <w:r>
            <w:fldChar w:fldCharType="separate"/>
          </w:r>
          <w:r>
            <w:rPr>
              <w:rFonts w:hint="eastAsia" w:asciiTheme="minorEastAsia" w:hAnsiTheme="minorEastAsia" w:cstheme="minorEastAsia"/>
            </w:rPr>
            <w:t>（三）2024年Q4“</w:t>
          </w:r>
          <w:r>
            <w:rPr>
              <w:rFonts w:hint="eastAsia" w:asciiTheme="minorEastAsia" w:hAnsiTheme="minorEastAsia" w:cstheme="minorEastAsia"/>
              <w:b/>
              <w:bCs/>
            </w:rPr>
            <w:t>尚德机构</w:t>
          </w:r>
          <w:r>
            <w:rPr>
              <w:rFonts w:hint="eastAsia" w:asciiTheme="minorEastAsia" w:hAnsiTheme="minorEastAsia" w:cstheme="minorEastAsia"/>
            </w:rPr>
            <w:t>”获“不予评级”</w:t>
          </w:r>
          <w:r>
            <w:rPr>
              <w:rFonts w:hint="eastAsia" w:asciiTheme="minorEastAsia" w:hAnsiTheme="minorEastAsia" w:cstheme="minorEastAsia"/>
            </w:rPr>
            <w:tab/>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rPr>
            <w:t>2</w:t>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"_Toc9272" </w:instrText>
          </w:r>
          <w:r>
            <w:fldChar w:fldCharType="separate"/>
          </w:r>
          <w:r>
            <w:rPr>
              <w:rFonts w:hint="eastAsia" w:asciiTheme="minorEastAsia" w:hAnsiTheme="minorEastAsia" w:cstheme="minorEastAsia"/>
            </w:rPr>
            <w:t>（四）2024年Q4“</w:t>
          </w:r>
          <w:r>
            <w:rPr>
              <w:rFonts w:hint="eastAsia" w:asciiTheme="minorEastAsia" w:hAnsiTheme="minorEastAsia" w:cstheme="minorEastAsia"/>
              <w:b/>
              <w:bCs/>
            </w:rPr>
            <w:t>常青藤爸爸</w:t>
          </w:r>
          <w:r>
            <w:rPr>
              <w:rFonts w:hint="eastAsia" w:asciiTheme="minorEastAsia" w:hAnsiTheme="minorEastAsia" w:cstheme="minorEastAsia"/>
            </w:rPr>
            <w:t>”获“不予评级”</w:t>
          </w:r>
          <w:r>
            <w:rPr>
              <w:rFonts w:hint="eastAsia" w:asciiTheme="minorEastAsia" w:hAnsiTheme="minorEastAsia" w:cstheme="minorEastAsia"/>
            </w:rPr>
            <w:tab/>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rPr>
            <w:t>3</w:t>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"_Toc12649" </w:instrText>
          </w:r>
          <w:r>
            <w:fldChar w:fldCharType="separate"/>
          </w:r>
          <w:r>
            <w:rPr>
              <w:rFonts w:hint="eastAsia" w:asciiTheme="minorEastAsia" w:hAnsiTheme="minorEastAsia" w:cstheme="minorEastAsia"/>
            </w:rPr>
            <w:t>（五）2024年Q4“</w:t>
          </w:r>
          <w:r>
            <w:rPr>
              <w:rFonts w:hint="eastAsia" w:asciiTheme="minorEastAsia" w:hAnsiTheme="minorEastAsia" w:cstheme="minorEastAsia"/>
              <w:b/>
              <w:bCs/>
            </w:rPr>
            <w:t>潭州教育</w:t>
          </w:r>
          <w:r>
            <w:rPr>
              <w:rFonts w:hint="eastAsia" w:asciiTheme="minorEastAsia" w:hAnsiTheme="minorEastAsia" w:cstheme="minorEastAsia"/>
            </w:rPr>
            <w:t>”获“不予评级”</w:t>
          </w:r>
          <w:r>
            <w:rPr>
              <w:rFonts w:hint="eastAsia" w:asciiTheme="minorEastAsia" w:hAnsiTheme="minorEastAsia" w:cstheme="minorEastAsia"/>
            </w:rPr>
            <w:tab/>
          </w:r>
          <w:r>
            <w:rPr>
              <w:rFonts w:hint="eastAsia" w:asciiTheme="minorEastAsia" w:hAnsiTheme="minorEastAsia" w:cstheme="minorEastAsia"/>
            </w:rPr>
            <w:fldChar w:fldCharType="begin"/>
          </w:r>
          <w:r>
            <w:rPr>
              <w:rFonts w:hint="eastAsia" w:asciiTheme="minorEastAsia" w:hAnsiTheme="minorEastAsia" w:cstheme="minorEastAsia"/>
            </w:rPr>
            <w:instrText xml:space="preserve"> PAGEREF _Toc12649 </w:instrText>
          </w:r>
          <w:r>
            <w:rPr>
              <w:rFonts w:hint="eastAsia" w:asciiTheme="minorEastAsia" w:hAnsiTheme="minorEastAsia" w:cstheme="minorEastAsia"/>
            </w:rPr>
            <w:fldChar w:fldCharType="separate"/>
          </w:r>
          <w:r>
            <w:rPr>
              <w:rFonts w:hint="eastAsia" w:asciiTheme="minorEastAsia" w:hAnsiTheme="minorEastAsia" w:cstheme="minorEastAsia"/>
            </w:rPr>
            <w:t>15</w:t>
          </w:r>
          <w:r>
            <w:rPr>
              <w:rFonts w:hint="eastAsia" w:asciiTheme="minorEastAsia" w:hAnsiTheme="minorEastAsia" w:cstheme="minorEastAsia"/>
            </w:rPr>
            <w:fldChar w:fldCharType="end"/>
          </w:r>
          <w:r>
            <w:rPr>
              <w:rFonts w:hint="eastAsia" w:asciiTheme="minorEastAsia" w:hAnsiTheme="minorEastAsia" w:cstheme="minorEastAsia"/>
            </w:rPr>
            <w:fldChar w:fldCharType="end"/>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"_Toc31447" </w:instrText>
          </w:r>
          <w:r>
            <w:fldChar w:fldCharType="separate"/>
          </w:r>
          <w:r>
            <w:rPr>
              <w:rFonts w:hint="eastAsia" w:asciiTheme="minorEastAsia" w:hAnsiTheme="minorEastAsia" w:cstheme="minorEastAsia"/>
            </w:rPr>
            <w:t>（六）2024年Q4“</w:t>
          </w:r>
          <w:r>
            <w:rPr>
              <w:rFonts w:hint="eastAsia" w:asciiTheme="minorEastAsia" w:hAnsiTheme="minorEastAsia" w:cstheme="minorEastAsia"/>
              <w:b/>
              <w:bCs/>
            </w:rPr>
            <w:t>一只船教育</w:t>
          </w:r>
          <w:r>
            <w:rPr>
              <w:rFonts w:hint="eastAsia" w:asciiTheme="minorEastAsia" w:hAnsiTheme="minorEastAsia" w:cstheme="minorEastAsia"/>
            </w:rPr>
            <w:t>”获“不建议下单”</w:t>
          </w:r>
          <w:r>
            <w:rPr>
              <w:rFonts w:hint="eastAsia" w:asciiTheme="minorEastAsia" w:hAnsiTheme="minorEastAsia" w:cstheme="minorEastAsia"/>
            </w:rPr>
            <w:tab/>
          </w:r>
          <w:r>
            <w:rPr>
              <w:rFonts w:hint="eastAsia" w:asciiTheme="minorEastAsia" w:hAnsiTheme="minorEastAsia" w:cstheme="minorEastAsia"/>
            </w:rPr>
            <w:fldChar w:fldCharType="begin"/>
          </w:r>
          <w:r>
            <w:rPr>
              <w:rFonts w:hint="eastAsia" w:asciiTheme="minorEastAsia" w:hAnsiTheme="minorEastAsia" w:cstheme="minorEastAsia"/>
            </w:rPr>
            <w:instrText xml:space="preserve"> PAGEREF _Toc31447 </w:instrText>
          </w:r>
          <w:r>
            <w:rPr>
              <w:rFonts w:hint="eastAsia" w:asciiTheme="minorEastAsia" w:hAnsiTheme="minorEastAsia" w:cstheme="minorEastAsia"/>
            </w:rPr>
            <w:fldChar w:fldCharType="separate"/>
          </w:r>
          <w:r>
            <w:rPr>
              <w:rFonts w:hint="eastAsia" w:asciiTheme="minorEastAsia" w:hAnsiTheme="minorEastAsia" w:cstheme="minorEastAsia"/>
            </w:rPr>
            <w:t>16</w:t>
          </w:r>
          <w:r>
            <w:rPr>
              <w:rFonts w:hint="eastAsia" w:asciiTheme="minorEastAsia" w:hAnsiTheme="minorEastAsia" w:cstheme="minorEastAsia"/>
            </w:rPr>
            <w:fldChar w:fldCharType="end"/>
          </w:r>
          <w:r>
            <w:rPr>
              <w:rFonts w:hint="eastAsia" w:asciiTheme="minorEastAsia" w:hAnsiTheme="minorEastAsia" w:cstheme="minorEastAsia"/>
            </w:rPr>
            <w:fldChar w:fldCharType="end"/>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"_Toc3265" </w:instrText>
          </w:r>
          <w:r>
            <w:fldChar w:fldCharType="separate"/>
          </w:r>
          <w:r>
            <w:rPr>
              <w:rFonts w:hint="eastAsia" w:asciiTheme="minorEastAsia" w:hAnsiTheme="minorEastAsia" w:cstheme="minorEastAsia"/>
            </w:rPr>
            <w:t>（七）2024年Q4“</w:t>
          </w:r>
          <w:r>
            <w:rPr>
              <w:rFonts w:hint="eastAsia" w:asciiTheme="minorEastAsia" w:hAnsiTheme="minorEastAsia" w:cstheme="minorEastAsia"/>
              <w:b/>
              <w:bCs/>
            </w:rPr>
            <w:t>中安建培</w:t>
          </w:r>
          <w:r>
            <w:rPr>
              <w:rFonts w:hint="eastAsia" w:asciiTheme="minorEastAsia" w:hAnsiTheme="minorEastAsia" w:cstheme="minorEastAsia"/>
            </w:rPr>
            <w:t>”获“不建议下单”</w:t>
          </w:r>
          <w:r>
            <w:rPr>
              <w:rFonts w:hint="eastAsia" w:asciiTheme="minorEastAsia" w:hAnsiTheme="minorEastAsia" w:cstheme="minorEastAsia"/>
            </w:rPr>
            <w:tab/>
          </w:r>
          <w:r>
            <w:rPr>
              <w:rFonts w:hint="eastAsia" w:asciiTheme="minorEastAsia" w:hAnsiTheme="minorEastAsia" w:cstheme="minorEastAsia"/>
            </w:rPr>
            <w:fldChar w:fldCharType="begin"/>
          </w:r>
          <w:r>
            <w:rPr>
              <w:rFonts w:hint="eastAsia" w:asciiTheme="minorEastAsia" w:hAnsiTheme="minorEastAsia" w:cstheme="minorEastAsia"/>
            </w:rPr>
            <w:instrText xml:space="preserve"> PAGEREF _Toc3265 </w:instrText>
          </w:r>
          <w:r>
            <w:rPr>
              <w:rFonts w:hint="eastAsia" w:asciiTheme="minorEastAsia" w:hAnsiTheme="minorEastAsia" w:cstheme="minorEastAsia"/>
            </w:rPr>
            <w:fldChar w:fldCharType="separate"/>
          </w:r>
          <w:r>
            <w:rPr>
              <w:rFonts w:hint="eastAsia" w:asciiTheme="minorEastAsia" w:hAnsiTheme="minorEastAsia" w:cstheme="minorEastAsia"/>
            </w:rPr>
            <w:t>18</w:t>
          </w:r>
          <w:r>
            <w:rPr>
              <w:rFonts w:hint="eastAsia" w:asciiTheme="minorEastAsia" w:hAnsiTheme="minorEastAsia" w:cstheme="minorEastAsia"/>
            </w:rPr>
            <w:fldChar w:fldCharType="end"/>
          </w:r>
          <w:r>
            <w:rPr>
              <w:rFonts w:hint="eastAsia" w:asciiTheme="minorEastAsia" w:hAnsiTheme="minorEastAsia" w:cstheme="minorEastAsia"/>
            </w:rPr>
            <w:fldChar w:fldCharType="end"/>
          </w:r>
        </w:p>
        <w:p>
          <w:pPr>
            <w:pStyle w:val="8"/>
            <w:tabs>
              <w:tab w:val="right" w:leader="dot" w:pos="8306"/>
            </w:tabs>
            <w:rPr>
              <w:b/>
              <w:bCs/>
              <w:sz w:val="32"/>
              <w:szCs w:val="32"/>
            </w:rPr>
          </w:pPr>
          <w:r>
            <w:fldChar w:fldCharType="begin"/>
          </w:r>
          <w:r>
            <w:instrText xml:space="preserve"> HYPERLINK \l "_Toc2260" </w:instrText>
          </w:r>
          <w:r>
            <w:fldChar w:fldCharType="separate"/>
          </w:r>
          <w:r>
            <w:rPr>
              <w:rFonts w:hint="eastAsia" w:ascii="微软雅黑" w:hAnsi="微软雅黑" w:eastAsia="微软雅黑" w:cs="微软雅黑"/>
              <w:b/>
              <w:bCs/>
              <w:sz w:val="32"/>
              <w:szCs w:val="32"/>
            </w:rPr>
            <w:t>四、关于我们</w:t>
          </w:r>
          <w:r>
            <w:rPr>
              <w:b/>
              <w:bCs/>
              <w:sz w:val="32"/>
              <w:szCs w:val="32"/>
            </w:rPr>
            <w:tab/>
          </w:r>
          <w:r>
            <w:rPr>
              <w:b/>
              <w:bCs/>
              <w:sz w:val="32"/>
              <w:szCs w:val="32"/>
            </w:rPr>
            <w:fldChar w:fldCharType="begin"/>
          </w:r>
          <w:r>
            <w:rPr>
              <w:b/>
              <w:bCs/>
              <w:sz w:val="32"/>
              <w:szCs w:val="32"/>
            </w:rPr>
            <w:instrText xml:space="preserve"> PAGEREF _Toc2260 </w:instrText>
          </w:r>
          <w:r>
            <w:rPr>
              <w:b/>
              <w:bCs/>
              <w:sz w:val="32"/>
              <w:szCs w:val="32"/>
            </w:rPr>
            <w:fldChar w:fldCharType="separate"/>
          </w:r>
          <w:r>
            <w:rPr>
              <w:b/>
              <w:bCs/>
              <w:sz w:val="32"/>
              <w:szCs w:val="32"/>
            </w:rPr>
            <w:t>1</w:t>
          </w:r>
          <w:r>
            <w:rPr>
              <w:rFonts w:hint="eastAsia"/>
              <w:b/>
              <w:bCs/>
              <w:sz w:val="32"/>
              <w:szCs w:val="32"/>
            </w:rPr>
            <w:t>9</w:t>
          </w:r>
          <w:r>
            <w:rPr>
              <w:b/>
              <w:bCs/>
              <w:sz w:val="32"/>
              <w:szCs w:val="32"/>
            </w:rPr>
            <w:fldChar w:fldCharType="end"/>
          </w:r>
          <w:r>
            <w:rPr>
              <w:b/>
              <w:bCs/>
              <w:sz w:val="32"/>
              <w:szCs w:val="32"/>
            </w:rPr>
            <w:fldChar w:fldCharType="end"/>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"_Toc18898" </w:instrText>
          </w:r>
          <w:r>
            <w:fldChar w:fldCharType="separate"/>
          </w:r>
          <w:r>
            <w:rPr>
              <w:rFonts w:hint="eastAsia" w:asciiTheme="minorEastAsia" w:hAnsiTheme="minorEastAsia" w:cstheme="minorEastAsia"/>
            </w:rPr>
            <w:t>（一）关于电诉宝</w:t>
          </w:r>
          <w:r>
            <w:rPr>
              <w:rFonts w:hint="eastAsia" w:asciiTheme="minorEastAsia" w:hAnsiTheme="minorEastAsia" w:cstheme="minorEastAsia"/>
            </w:rPr>
            <w:tab/>
          </w:r>
          <w:r>
            <w:rPr>
              <w:rFonts w:hint="eastAsia" w:asciiTheme="minorEastAsia" w:hAnsiTheme="minorEastAsia" w:cstheme="minorEastAsia"/>
            </w:rPr>
            <w:t>1</w:t>
          </w:r>
          <w:r>
            <w:rPr>
              <w:rFonts w:hint="eastAsia" w:asciiTheme="minorEastAsia" w:hAnsiTheme="minorEastAsia" w:cstheme="minorEastAsia"/>
            </w:rPr>
            <w:fldChar w:fldCharType="end"/>
          </w:r>
          <w:r>
            <w:rPr>
              <w:rFonts w:hint="eastAsia" w:asciiTheme="minorEastAsia" w:hAnsiTheme="minorEastAsia" w:cstheme="minorEastAsia"/>
            </w:rPr>
            <w:t>9</w:t>
          </w:r>
        </w:p>
        <w:p>
          <w:pPr>
            <w:pStyle w:val="9"/>
            <w:tabs>
              <w:tab w:val="right" w:leader="dot" w:pos="8306"/>
            </w:tabs>
            <w:spacing w:before="156" w:beforeLines="50"/>
            <w:rPr>
              <w:rFonts w:asciiTheme="minorEastAsia" w:hAnsiTheme="minorEastAsia" w:cstheme="minorEastAsia"/>
            </w:rPr>
          </w:pPr>
          <w:r>
            <w:fldChar w:fldCharType="begin"/>
          </w:r>
          <w:r>
            <w:instrText xml:space="preserve"> HYPERLINK \l "_Toc18210" </w:instrText>
          </w:r>
          <w:r>
            <w:fldChar w:fldCharType="separate"/>
          </w:r>
          <w:r>
            <w:rPr>
              <w:rFonts w:hint="eastAsia" w:asciiTheme="minorEastAsia" w:hAnsiTheme="minorEastAsia" w:cstheme="minorEastAsia"/>
            </w:rPr>
            <w:t>（二）关于网经社</w:t>
          </w:r>
          <w:r>
            <w:rPr>
              <w:rFonts w:hint="eastAsia" w:asciiTheme="minorEastAsia" w:hAnsiTheme="minorEastAsia" w:cstheme="minorEastAsia"/>
            </w:rPr>
            <w:tab/>
          </w:r>
          <w:r>
            <w:rPr>
              <w:rFonts w:hint="eastAsia" w:asciiTheme="minorEastAsia" w:hAnsiTheme="minorEastAsia" w:cstheme="minorEastAsia"/>
            </w:rPr>
            <w:fldChar w:fldCharType="begin"/>
          </w:r>
          <w:r>
            <w:rPr>
              <w:rFonts w:hint="eastAsia" w:asciiTheme="minorEastAsia" w:hAnsiTheme="minorEastAsia" w:cstheme="minorEastAsia"/>
            </w:rPr>
            <w:instrText xml:space="preserve"> PAGEREF _Toc18210 </w:instrText>
          </w:r>
          <w:r>
            <w:rPr>
              <w:rFonts w:hint="eastAsia" w:asciiTheme="minorEastAsia" w:hAnsiTheme="minorEastAsia" w:cstheme="minorEastAsia"/>
            </w:rPr>
            <w:fldChar w:fldCharType="separate"/>
          </w:r>
          <w:r>
            <w:rPr>
              <w:rFonts w:hint="eastAsia" w:asciiTheme="minorEastAsia" w:hAnsiTheme="minorEastAsia" w:cstheme="minorEastAsia"/>
            </w:rPr>
            <w:t>22</w:t>
          </w:r>
          <w:r>
            <w:rPr>
              <w:rFonts w:hint="eastAsia" w:asciiTheme="minorEastAsia" w:hAnsiTheme="minorEastAsia" w:cstheme="minorEastAsia"/>
            </w:rPr>
            <w:fldChar w:fldCharType="end"/>
          </w:r>
          <w:r>
            <w:rPr>
              <w:rFonts w:hint="eastAsia" w:asciiTheme="minorEastAsia" w:hAnsiTheme="minorEastAsia" w:cstheme="minorEastAsia"/>
            </w:rPr>
            <w:fldChar w:fldCharType="end"/>
          </w:r>
        </w:p>
        <w:p>
          <w:pPr>
            <w:pStyle w:val="8"/>
            <w:tabs>
              <w:tab w:val="right" w:leader="dot" w:pos="8296"/>
            </w:tabs>
            <w:spacing w:line="360" w:lineRule="auto"/>
            <w:ind w:firstLine="420" w:firstLineChars="200"/>
            <w:rPr>
              <w:sz w:val="24"/>
            </w:rPr>
            <w:sectPr>
              <w:pgSz w:w="11906" w:h="16838"/>
              <w:pgMar w:top="1440" w:right="1800" w:bottom="1440" w:left="1800" w:header="851" w:footer="992" w:gutter="0"/>
              <w:cols w:space="425" w:num="1"/>
              <w:docGrid w:type="lines" w:linePitch="312" w:charSpace="0"/>
            </w:sectPr>
          </w:pPr>
          <w:r>
            <w:rPr>
              <w:rFonts w:hint="eastAsia" w:asciiTheme="minorEastAsia" w:hAnsiTheme="minorEastAsia" w:cstheme="minorEastAsia"/>
            </w:rPr>
            <w:fldChar w:fldCharType="end"/>
          </w:r>
        </w:p>
      </w:sdtContent>
    </w:sdt>
    <w:p>
      <w:pPr>
        <w:pStyle w:val="2"/>
        <w:rPr>
          <w:rFonts w:ascii="微软雅黑" w:hAnsi="微软雅黑" w:eastAsia="微软雅黑" w:cs="微软雅黑"/>
          <w:sz w:val="32"/>
          <w:szCs w:val="32"/>
        </w:rPr>
      </w:pPr>
      <w:bookmarkStart w:id="0" w:name="_Toc3754"/>
      <w:bookmarkStart w:id="1" w:name="_Toc30145"/>
      <w:r>
        <w:rPr>
          <w:rFonts w:hint="eastAsia" w:ascii="微软雅黑" w:hAnsi="微软雅黑" w:eastAsia="微软雅黑" w:cs="微软雅黑"/>
          <w:sz w:val="32"/>
          <w:szCs w:val="32"/>
        </w:rPr>
        <w:t>一、</w:t>
      </w:r>
      <w:bookmarkEnd w:id="0"/>
      <w:r>
        <w:rPr>
          <w:rFonts w:hint="eastAsia" w:ascii="微软雅黑" w:hAnsi="微软雅黑" w:eastAsia="微软雅黑" w:cs="微软雅黑"/>
          <w:sz w:val="32"/>
          <w:szCs w:val="32"/>
        </w:rPr>
        <w:t>报告摘要</w:t>
      </w:r>
      <w:bookmarkEnd w:id="1"/>
    </w:p>
    <w:p>
      <w:pPr>
        <w:spacing w:before="156"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bookmarkStart w:id="2" w:name="_Toc30101"/>
      <w:bookmarkStart w:id="3" w:name="_Toc24811"/>
      <w:r>
        <w:rPr>
          <w:rFonts w:hint="eastAsia" w:asciiTheme="minorEastAsia" w:hAnsiTheme="minorEastAsia" w:cstheme="minorEastAsia"/>
          <w:color w:val="000000" w:themeColor="text1"/>
          <w:sz w:val="24"/>
          <w14:textFill>
            <w14:solidFill>
              <w14:schemeClr w14:val="tx1"/>
            </w14:solidFill>
          </w14:textFill>
        </w:rPr>
        <w:t>2024年第四季度，数字教育行业面临诸多挑战。教育培训服务类投诉增多，公众对在线课程质量、教育资源分配、学习平台技术及个人隐私保护等问题表达强烈不满。</w:t>
      </w:r>
    </w:p>
    <w:p>
      <w:pPr>
        <w:spacing w:before="156" w:beforeLines="50" w:line="360" w:lineRule="auto"/>
        <w:ind w:firstLine="480" w:firstLineChars="200"/>
        <w:rPr>
          <w:rFonts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在此背景下，2月17日，依据国内知名网络消费纠纷调解平台“电诉宝”（315.100EC.CN）2024年四季度受理的全国28家数字教育平台纠纷大量案例数据，“一带一路”TOP10影响力社会智库网经社电子商务研究中心发布了《2024年Q4中国数字教育用户体验与投诉数据报告》。</w:t>
      </w:r>
    </w:p>
    <w:p>
      <w:pPr>
        <w:spacing w:before="156" w:beforeLines="50" w:line="360" w:lineRule="auto"/>
      </w:pPr>
      <w:r>
        <w:drawing>
          <wp:inline distT="0" distB="0" distL="114300" distR="114300">
            <wp:extent cx="5273040" cy="4862830"/>
            <wp:effectExtent l="0" t="0" r="3810" b="139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3040" cy="4862830"/>
                    </a:xfrm>
                    <a:prstGeom prst="rect">
                      <a:avLst/>
                    </a:prstGeom>
                    <a:noFill/>
                    <a:ln>
                      <a:noFill/>
                    </a:ln>
                  </pic:spPr>
                </pic:pic>
              </a:graphicData>
            </a:graphic>
          </wp:inline>
        </w:drawing>
      </w:r>
    </w:p>
    <w:p>
      <w:pPr>
        <w:spacing w:before="156" w:beforeLines="50" w:line="360" w:lineRule="auto"/>
        <w:ind w:firstLine="480" w:firstLineChars="200"/>
        <w:rPr>
          <w:rFonts w:ascii="宋体" w:hAnsi="宋体" w:eastAsia="宋体" w:cs="宋体"/>
          <w:sz w:val="24"/>
        </w:rPr>
      </w:pPr>
      <w:r>
        <w:rPr>
          <w:rFonts w:ascii="宋体" w:hAnsi="宋体" w:eastAsia="宋体" w:cs="宋体"/>
          <w:sz w:val="24"/>
        </w:rPr>
        <w:t>根据“电诉宝”202</w:t>
      </w:r>
      <w:r>
        <w:rPr>
          <w:rFonts w:hint="eastAsia" w:ascii="宋体" w:hAnsi="宋体" w:eastAsia="宋体" w:cs="宋体"/>
          <w:sz w:val="24"/>
        </w:rPr>
        <w:t>4</w:t>
      </w:r>
      <w:r>
        <w:rPr>
          <w:rFonts w:ascii="宋体" w:hAnsi="宋体" w:eastAsia="宋体" w:cs="宋体"/>
          <w:sz w:val="24"/>
        </w:rPr>
        <w:t xml:space="preserve"> 年Q</w:t>
      </w:r>
      <w:r>
        <w:rPr>
          <w:rFonts w:hint="eastAsia" w:ascii="宋体" w:hAnsi="宋体" w:eastAsia="宋体" w:cs="宋体"/>
          <w:sz w:val="24"/>
        </w:rPr>
        <w:t>4</w:t>
      </w:r>
      <w:r>
        <w:rPr>
          <w:rFonts w:ascii="宋体" w:hAnsi="宋体" w:eastAsia="宋体" w:cs="宋体"/>
          <w:sz w:val="24"/>
        </w:rPr>
        <w:t>受理的中国数字教育领域用户有效投诉显示，投 诉量</w:t>
      </w:r>
      <w:r>
        <w:rPr>
          <w:rFonts w:ascii="宋体" w:hAnsi="宋体" w:eastAsia="宋体" w:cs="宋体"/>
          <w:b/>
          <w:bCs/>
          <w:sz w:val="24"/>
        </w:rPr>
        <w:t xml:space="preserve"> TOP10</w:t>
      </w:r>
      <w:r>
        <w:rPr>
          <w:rFonts w:ascii="宋体" w:hAnsi="宋体" w:eastAsia="宋体" w:cs="宋体"/>
          <w:sz w:val="24"/>
        </w:rPr>
        <w:t xml:space="preserve"> </w:t>
      </w:r>
      <w:r>
        <w:rPr>
          <w:rFonts w:hint="eastAsia" w:ascii="宋体" w:hAnsi="宋体" w:eastAsia="宋体" w:cs="宋体"/>
          <w:sz w:val="24"/>
        </w:rPr>
        <w:t>有一只船教育、对啊网、帮考网、中安建培教育、中安建培、赛优教育、尚德机构、潭州教育、中职通等；</w:t>
      </w:r>
    </w:p>
    <w:p>
      <w:pPr>
        <w:spacing w:before="156" w:beforeLines="50" w:line="360" w:lineRule="auto"/>
        <w:ind w:firstLine="480" w:firstLineChars="200"/>
        <w:rPr>
          <w:rFonts w:ascii="宋体" w:hAnsi="宋体" w:eastAsia="宋体" w:cs="宋体"/>
          <w:sz w:val="24"/>
        </w:rPr>
      </w:pPr>
      <w:r>
        <w:rPr>
          <w:rFonts w:ascii="宋体" w:hAnsi="宋体" w:eastAsia="宋体" w:cs="宋体"/>
          <w:sz w:val="24"/>
        </w:rPr>
        <w:t>排在</w:t>
      </w:r>
      <w:r>
        <w:rPr>
          <w:rFonts w:ascii="宋体" w:hAnsi="宋体" w:eastAsia="宋体" w:cs="宋体"/>
          <w:b/>
          <w:bCs/>
          <w:sz w:val="24"/>
        </w:rPr>
        <w:t>第11-2</w:t>
      </w:r>
      <w:r>
        <w:rPr>
          <w:rFonts w:hint="eastAsia" w:ascii="宋体" w:hAnsi="宋体" w:eastAsia="宋体" w:cs="宋体"/>
          <w:b/>
          <w:bCs/>
          <w:sz w:val="24"/>
        </w:rPr>
        <w:t>0</w:t>
      </w:r>
      <w:r>
        <w:rPr>
          <w:rFonts w:ascii="宋体" w:hAnsi="宋体" w:eastAsia="宋体" w:cs="宋体"/>
          <w:b/>
          <w:bCs/>
          <w:sz w:val="24"/>
        </w:rPr>
        <w:t>名</w:t>
      </w:r>
      <w:r>
        <w:rPr>
          <w:rFonts w:ascii="宋体" w:hAnsi="宋体" w:eastAsia="宋体" w:cs="宋体"/>
          <w:sz w:val="24"/>
        </w:rPr>
        <w:t>的是：</w:t>
      </w:r>
      <w:r>
        <w:rPr>
          <w:rFonts w:hint="eastAsia" w:ascii="宋体" w:hAnsi="宋体" w:eastAsia="宋体" w:cs="宋体"/>
          <w:sz w:val="24"/>
        </w:rPr>
        <w:t>常青藤爸爸、网易云课堂、小叶子陪练、大鹏教育、恒企教育、帮考教育、阿卡索外教网、学慧网、抖音查理老师、有道精品课；</w:t>
      </w:r>
    </w:p>
    <w:p>
      <w:pPr>
        <w:spacing w:before="156" w:beforeLines="50" w:line="360" w:lineRule="auto"/>
        <w:ind w:firstLine="480" w:firstLineChars="200"/>
        <w:rPr>
          <w:rFonts w:ascii="宋体" w:hAnsi="宋体" w:eastAsia="宋体" w:cs="宋体"/>
          <w:sz w:val="24"/>
        </w:rPr>
      </w:pPr>
      <w:r>
        <w:rPr>
          <w:rFonts w:ascii="宋体" w:hAnsi="宋体" w:eastAsia="宋体" w:cs="宋体"/>
          <w:sz w:val="24"/>
        </w:rPr>
        <w:t>排在</w:t>
      </w:r>
      <w:r>
        <w:rPr>
          <w:rFonts w:ascii="宋体" w:hAnsi="宋体" w:eastAsia="宋体" w:cs="宋体"/>
          <w:b/>
          <w:bCs/>
          <w:sz w:val="24"/>
        </w:rPr>
        <w:t>第</w:t>
      </w:r>
      <w:r>
        <w:rPr>
          <w:rFonts w:hint="eastAsia" w:ascii="宋体" w:hAnsi="宋体" w:eastAsia="宋体" w:cs="宋体"/>
          <w:b/>
          <w:bCs/>
          <w:sz w:val="24"/>
        </w:rPr>
        <w:t>2</w:t>
      </w:r>
      <w:r>
        <w:rPr>
          <w:rFonts w:ascii="宋体" w:hAnsi="宋体" w:eastAsia="宋体" w:cs="宋体"/>
          <w:b/>
          <w:bCs/>
          <w:sz w:val="24"/>
        </w:rPr>
        <w:t>1-2</w:t>
      </w:r>
      <w:r>
        <w:rPr>
          <w:rFonts w:hint="eastAsia" w:ascii="宋体" w:hAnsi="宋体" w:eastAsia="宋体" w:cs="宋体"/>
          <w:b/>
          <w:bCs/>
          <w:sz w:val="24"/>
        </w:rPr>
        <w:t>8</w:t>
      </w:r>
      <w:r>
        <w:rPr>
          <w:rFonts w:ascii="宋体" w:hAnsi="宋体" w:eastAsia="宋体" w:cs="宋体"/>
          <w:b/>
          <w:bCs/>
          <w:sz w:val="24"/>
        </w:rPr>
        <w:t>名</w:t>
      </w:r>
      <w:r>
        <w:rPr>
          <w:rFonts w:ascii="宋体" w:hAnsi="宋体" w:eastAsia="宋体" w:cs="宋体"/>
          <w:sz w:val="24"/>
        </w:rPr>
        <w:t>的是：</w:t>
      </w:r>
      <w:r>
        <w:rPr>
          <w:rFonts w:hint="eastAsia" w:ascii="宋体" w:hAnsi="宋体" w:eastAsia="宋体" w:cs="宋体"/>
          <w:sz w:val="24"/>
        </w:rPr>
        <w:t>聚师网、叽里呱啦、中公教育、开课吧、芸学教育、VIPKID、众趣教育、沪江网校。</w:t>
      </w:r>
    </w:p>
    <w:p>
      <w:pPr>
        <w:spacing w:before="156" w:beforeLines="50" w:line="360" w:lineRule="auto"/>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105400" cy="5829300"/>
            <wp:effectExtent l="0" t="0" r="0" b="0"/>
            <wp:docPr id="10" name="图片 10" descr="2be51e7bce5b5ed9035e4f85a5f374e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be51e7bce5b5ed9035e4f85a5f374e7 (1)"/>
                    <pic:cNvPicPr>
                      <a:picLocks noChangeAspect="1"/>
                    </pic:cNvPicPr>
                  </pic:nvPicPr>
                  <pic:blipFill>
                    <a:blip r:embed="rId8"/>
                    <a:stretch>
                      <a:fillRect/>
                    </a:stretch>
                  </pic:blipFill>
                  <pic:spPr>
                    <a:xfrm>
                      <a:off x="0" y="0"/>
                      <a:ext cx="5105400" cy="5829300"/>
                    </a:xfrm>
                    <a:prstGeom prst="rect">
                      <a:avLst/>
                    </a:prstGeom>
                  </pic:spPr>
                </pic:pic>
              </a:graphicData>
            </a:graphic>
          </wp:inline>
        </w:drawing>
      </w:r>
    </w:p>
    <w:p>
      <w:pPr>
        <w:spacing w:before="156" w:beforeLines="50" w:line="360" w:lineRule="auto"/>
        <w:ind w:firstLine="480" w:firstLineChars="200"/>
        <w:jc w:val="left"/>
        <w:rPr>
          <w:rFonts w:hint="eastAsia" w:ascii="宋体" w:hAnsi="宋体" w:eastAsia="宋体" w:cs="宋体"/>
          <w:sz w:val="24"/>
        </w:rPr>
      </w:pPr>
      <w:r>
        <w:rPr>
          <w:rFonts w:hint="eastAsia" w:asciiTheme="minorEastAsia" w:hAnsiTheme="minorEastAsia" w:cstheme="minorEastAsia"/>
          <w:sz w:val="24"/>
        </w:rPr>
        <w:t>在报告公布的《</w:t>
      </w:r>
      <w:r>
        <w:rPr>
          <w:rFonts w:hint="eastAsia" w:asciiTheme="minorEastAsia" w:hAnsiTheme="minorEastAsia" w:cstheme="minorEastAsia"/>
          <w:color w:val="000000" w:themeColor="text1"/>
          <w:sz w:val="24"/>
          <w14:textFill>
            <w14:solidFill>
              <w14:schemeClr w14:val="tx1"/>
            </w14:solidFill>
          </w14:textFill>
        </w:rPr>
        <w:t>2024年Q4</w:t>
      </w:r>
      <w:r>
        <w:rPr>
          <w:rFonts w:hint="eastAsia" w:ascii="宋体" w:hAnsi="宋体" w:eastAsia="宋体" w:cs="宋体"/>
          <w:sz w:val="24"/>
        </w:rPr>
        <w:t>全国数字教育评级榜》中：</w:t>
      </w:r>
      <w:r>
        <w:rPr>
          <w:rFonts w:hint="eastAsia" w:asciiTheme="minorEastAsia" w:hAnsiTheme="minorEastAsia" w:cstheme="minorEastAsia"/>
          <w:sz w:val="24"/>
        </w:rPr>
        <w:t>获</w:t>
      </w:r>
      <w:r>
        <w:rPr>
          <w:rFonts w:hint="eastAsia" w:asciiTheme="minorEastAsia" w:hAnsiTheme="minorEastAsia" w:cstheme="minorEastAsia"/>
          <w:b/>
          <w:sz w:val="24"/>
        </w:rPr>
        <w:t>“建议下单”</w:t>
      </w:r>
      <w:r>
        <w:rPr>
          <w:rFonts w:hint="eastAsia" w:asciiTheme="minorEastAsia" w:hAnsiTheme="minorEastAsia" w:cstheme="minorEastAsia"/>
          <w:sz w:val="24"/>
        </w:rPr>
        <w:t>评级的有：网易云课堂、</w:t>
      </w:r>
      <w:r>
        <w:rPr>
          <w:rFonts w:hint="eastAsia" w:ascii="宋体" w:hAnsi="宋体" w:eastAsia="宋体" w:cs="宋体"/>
          <w:sz w:val="24"/>
        </w:rPr>
        <w:t>中职通</w:t>
      </w:r>
      <w:r>
        <w:rPr>
          <w:rFonts w:hint="eastAsia" w:asciiTheme="minorEastAsia" w:hAnsiTheme="minorEastAsia" w:cstheme="minorEastAsia"/>
          <w:sz w:val="24"/>
        </w:rPr>
        <w:t>2家；获</w:t>
      </w:r>
      <w:r>
        <w:rPr>
          <w:rFonts w:hint="eastAsia" w:asciiTheme="minorEastAsia" w:hAnsiTheme="minorEastAsia" w:cstheme="minorEastAsia"/>
          <w:b/>
          <w:sz w:val="24"/>
        </w:rPr>
        <w:t>“谨慎下单”</w:t>
      </w:r>
      <w:r>
        <w:rPr>
          <w:rFonts w:hint="eastAsia" w:asciiTheme="minorEastAsia" w:hAnsiTheme="minorEastAsia" w:cstheme="minorEastAsia"/>
          <w:sz w:val="24"/>
        </w:rPr>
        <w:t>评级的有：</w:t>
      </w:r>
      <w:r>
        <w:rPr>
          <w:rFonts w:hint="eastAsia" w:ascii="宋体" w:hAnsi="宋体" w:eastAsia="宋体" w:cs="宋体"/>
          <w:sz w:val="24"/>
        </w:rPr>
        <w:t>赛优教育、帮考网2</w:t>
      </w:r>
      <w:r>
        <w:rPr>
          <w:rFonts w:hint="eastAsia" w:asciiTheme="minorEastAsia" w:hAnsiTheme="minorEastAsia" w:cstheme="minorEastAsia"/>
          <w:sz w:val="24"/>
        </w:rPr>
        <w:t>家</w:t>
      </w:r>
      <w:r>
        <w:rPr>
          <w:rFonts w:hint="eastAsia" w:ascii="宋体" w:hAnsi="宋体" w:eastAsia="宋体" w:cs="宋体"/>
          <w:sz w:val="24"/>
        </w:rPr>
        <w:t>；获</w:t>
      </w:r>
      <w:r>
        <w:rPr>
          <w:rFonts w:hint="eastAsia" w:ascii="宋体" w:hAnsi="宋体" w:eastAsia="宋体" w:cs="宋体"/>
          <w:b/>
          <w:sz w:val="24"/>
        </w:rPr>
        <w:t>“不建议下单”</w:t>
      </w:r>
      <w:r>
        <w:rPr>
          <w:rFonts w:hint="eastAsia" w:ascii="宋体" w:hAnsi="宋体" w:eastAsia="宋体" w:cs="宋体"/>
          <w:sz w:val="24"/>
        </w:rPr>
        <w:t>评级的有：</w:t>
      </w:r>
      <w:r>
        <w:rPr>
          <w:rFonts w:hint="eastAsia" w:ascii="宋体" w:hAnsi="宋体" w:eastAsia="宋体" w:cs="宋体"/>
          <w:sz w:val="24"/>
          <w:lang w:eastAsia="zh-CN"/>
        </w:rPr>
        <w:t>嗨学网、</w:t>
      </w:r>
      <w:r>
        <w:rPr>
          <w:rFonts w:hint="eastAsia" w:ascii="宋体" w:hAnsi="宋体" w:eastAsia="宋体" w:cs="宋体"/>
          <w:sz w:val="24"/>
        </w:rPr>
        <w:t>对啊网、一只船教育、中安建培4家；获</w:t>
      </w:r>
      <w:r>
        <w:rPr>
          <w:rFonts w:hint="eastAsia" w:ascii="宋体" w:hAnsi="宋体" w:eastAsia="宋体" w:cs="宋体"/>
          <w:b/>
          <w:sz w:val="24"/>
        </w:rPr>
        <w:t>“不予评级”</w:t>
      </w:r>
      <w:r>
        <w:rPr>
          <w:rFonts w:hint="eastAsia" w:ascii="宋体" w:hAnsi="宋体" w:eastAsia="宋体" w:cs="宋体"/>
          <w:sz w:val="24"/>
        </w:rPr>
        <w:t>的有：尚德机构、潭州教育、常青藤爸爸</w:t>
      </w:r>
      <w:r>
        <w:rPr>
          <w:rFonts w:hint="eastAsia" w:ascii="宋体" w:hAnsi="宋体" w:eastAsia="宋体" w:cs="宋体"/>
          <w:sz w:val="24"/>
          <w:lang w:val="en-US" w:eastAsia="zh-CN"/>
        </w:rPr>
        <w:t>3</w:t>
      </w:r>
      <w:bookmarkStart w:id="180" w:name="_GoBack"/>
      <w:bookmarkEnd w:id="180"/>
      <w:r>
        <w:rPr>
          <w:rFonts w:hint="eastAsia" w:ascii="宋体" w:hAnsi="宋体" w:eastAsia="宋体" w:cs="宋体"/>
          <w:sz w:val="24"/>
        </w:rPr>
        <w:t>家。</w:t>
      </w:r>
    </w:p>
    <w:p>
      <w:pPr>
        <w:pStyle w:val="2"/>
        <w:rPr>
          <w:rFonts w:ascii="微软雅黑" w:hAnsi="微软雅黑" w:eastAsia="微软雅黑" w:cs="微软雅黑"/>
          <w:sz w:val="32"/>
          <w:szCs w:val="32"/>
        </w:rPr>
      </w:pPr>
      <w:bookmarkStart w:id="4" w:name="_Toc16281"/>
      <w:r>
        <w:rPr>
          <w:rFonts w:hint="eastAsia" w:ascii="微软雅黑" w:hAnsi="微软雅黑" w:eastAsia="微软雅黑" w:cs="微软雅黑"/>
          <w:sz w:val="32"/>
          <w:szCs w:val="32"/>
        </w:rPr>
        <w:t>二、整体数据</w:t>
      </w:r>
      <w:bookmarkEnd w:id="4"/>
    </w:p>
    <w:bookmarkEnd w:id="2"/>
    <w:bookmarkEnd w:id="3"/>
    <w:p>
      <w:pPr>
        <w:pStyle w:val="3"/>
      </w:pPr>
      <w:bookmarkStart w:id="5" w:name="_Toc21630"/>
      <w:bookmarkStart w:id="6" w:name="_Toc19287"/>
      <w:r>
        <w:rPr>
          <w:rFonts w:hint="eastAsia"/>
        </w:rPr>
        <w:t>（一）</w:t>
      </w:r>
      <w:bookmarkEnd w:id="5"/>
      <w:r>
        <w:rPr>
          <w:rFonts w:hint="eastAsia"/>
        </w:rPr>
        <w:t>投诉问题类型分布</w:t>
      </w:r>
      <w:bookmarkEnd w:id="6"/>
    </w:p>
    <w:p>
      <w:pPr>
        <w:spacing w:before="156" w:beforeLines="50" w:line="360" w:lineRule="auto"/>
        <w:ind w:firstLine="480" w:firstLineChars="200"/>
        <w:outlineLvl w:val="1"/>
      </w:pPr>
      <w:bookmarkStart w:id="7" w:name="_Toc23206"/>
      <w:bookmarkStart w:id="8" w:name="_Toc24507"/>
      <w:r>
        <w:rPr>
          <w:rFonts w:hint="eastAsia" w:ascii="宋体" w:hAnsi="宋体" w:eastAsia="宋体" w:cs="宋体"/>
          <w:sz w:val="24"/>
        </w:rPr>
        <w:t>据“电诉宝”显示，2024年Q4全国数字教育投诉问题类型TOP10中，</w:t>
      </w:r>
      <w:r>
        <w:rPr>
          <w:rFonts w:hint="eastAsia" w:ascii="宋体" w:hAnsi="宋体" w:eastAsia="宋体" w:cs="宋体"/>
          <w:b/>
          <w:sz w:val="24"/>
        </w:rPr>
        <w:t>退款问题</w:t>
      </w:r>
      <w:r>
        <w:rPr>
          <w:rFonts w:hint="eastAsia" w:ascii="宋体" w:hAnsi="宋体" w:eastAsia="宋体" w:cs="宋体"/>
          <w:sz w:val="24"/>
        </w:rPr>
        <w:t>占比高达</w:t>
      </w:r>
      <w:r>
        <w:rPr>
          <w:rFonts w:hint="eastAsia" w:ascii="宋体" w:hAnsi="宋体" w:eastAsia="宋体" w:cs="宋体"/>
          <w:b/>
          <w:sz w:val="24"/>
        </w:rPr>
        <w:t>54.05%</w:t>
      </w:r>
      <w:r>
        <w:rPr>
          <w:rFonts w:hint="eastAsia" w:ascii="宋体" w:hAnsi="宋体" w:eastAsia="宋体" w:cs="宋体"/>
          <w:sz w:val="24"/>
        </w:rPr>
        <w:t>，其余问题类型依次为：</w:t>
      </w:r>
      <w:r>
        <w:rPr>
          <w:rFonts w:hint="eastAsia" w:ascii="宋体" w:hAnsi="宋体" w:eastAsia="宋体" w:cs="宋体"/>
          <w:b/>
          <w:bCs/>
          <w:sz w:val="24"/>
        </w:rPr>
        <w:t>网络欺诈</w:t>
      </w:r>
      <w:r>
        <w:rPr>
          <w:rFonts w:hint="eastAsia" w:ascii="宋体" w:hAnsi="宋体" w:eastAsia="宋体" w:cs="宋体"/>
          <w:sz w:val="24"/>
        </w:rPr>
        <w:t>（18.919%）、</w:t>
      </w:r>
      <w:r>
        <w:rPr>
          <w:rFonts w:hint="eastAsia" w:ascii="宋体" w:hAnsi="宋体" w:eastAsia="宋体" w:cs="宋体"/>
          <w:b/>
          <w:bCs/>
          <w:color w:val="000000" w:themeColor="text1"/>
          <w:sz w:val="24"/>
          <w14:textFill>
            <w14:solidFill>
              <w14:schemeClr w14:val="tx1"/>
            </w14:solidFill>
          </w14:textFill>
        </w:rPr>
        <w:t>售后服务</w:t>
      </w:r>
      <w:r>
        <w:rPr>
          <w:rFonts w:hint="eastAsia" w:ascii="宋体" w:hAnsi="宋体" w:eastAsia="宋体" w:cs="宋体"/>
          <w:color w:val="000000" w:themeColor="text1"/>
          <w:sz w:val="24"/>
          <w14:textFill>
            <w14:solidFill>
              <w14:schemeClr w14:val="tx1"/>
            </w14:solidFill>
          </w14:textFill>
        </w:rPr>
        <w:t>（6.081%）、</w:t>
      </w:r>
      <w:r>
        <w:rPr>
          <w:rFonts w:hint="eastAsia" w:ascii="宋体" w:hAnsi="宋体" w:eastAsia="宋体" w:cs="宋体"/>
          <w:b/>
          <w:bCs/>
          <w:color w:val="000000" w:themeColor="text1"/>
          <w:sz w:val="24"/>
          <w14:textFill>
            <w14:solidFill>
              <w14:schemeClr w14:val="tx1"/>
            </w14:solidFill>
          </w14:textFill>
        </w:rPr>
        <w:t>虚假促销</w:t>
      </w:r>
      <w:r>
        <w:rPr>
          <w:rFonts w:hint="eastAsia" w:ascii="宋体" w:hAnsi="宋体" w:eastAsia="宋体" w:cs="宋体"/>
          <w:color w:val="000000" w:themeColor="text1"/>
          <w:sz w:val="24"/>
          <w14:textFill>
            <w14:solidFill>
              <w14:schemeClr w14:val="tx1"/>
            </w14:solidFill>
          </w14:textFill>
        </w:rPr>
        <w:t>（6.081%）、</w:t>
      </w:r>
      <w:r>
        <w:rPr>
          <w:rFonts w:hint="eastAsia" w:ascii="宋体" w:hAnsi="宋体" w:eastAsia="宋体" w:cs="宋体"/>
          <w:b/>
          <w:color w:val="000000" w:themeColor="text1"/>
          <w:sz w:val="24"/>
          <w14:textFill>
            <w14:solidFill>
              <w14:schemeClr w14:val="tx1"/>
            </w14:solidFill>
          </w14:textFill>
        </w:rPr>
        <w:t>霸王条款</w:t>
      </w:r>
      <w:r>
        <w:rPr>
          <w:rFonts w:hint="eastAsia" w:ascii="宋体" w:hAnsi="宋体" w:eastAsia="宋体" w:cs="宋体"/>
          <w:color w:val="000000" w:themeColor="text1"/>
          <w:sz w:val="24"/>
          <w14:textFill>
            <w14:solidFill>
              <w14:schemeClr w14:val="tx1"/>
            </w14:solidFill>
          </w14:textFill>
        </w:rPr>
        <w:t>（5.405%）、</w:t>
      </w:r>
      <w:r>
        <w:rPr>
          <w:rFonts w:hint="eastAsia" w:ascii="宋体" w:hAnsi="宋体" w:eastAsia="宋体" w:cs="宋体"/>
          <w:b/>
          <w:bCs/>
          <w:color w:val="000000" w:themeColor="text1"/>
          <w:sz w:val="24"/>
          <w14:textFill>
            <w14:solidFill>
              <w14:schemeClr w14:val="tx1"/>
            </w14:solidFill>
          </w14:textFill>
        </w:rPr>
        <w:t>网络售假</w:t>
      </w:r>
      <w:r>
        <w:rPr>
          <w:rFonts w:hint="eastAsia" w:ascii="宋体" w:hAnsi="宋体" w:eastAsia="宋体" w:cs="宋体"/>
          <w:color w:val="000000" w:themeColor="text1"/>
          <w:sz w:val="24"/>
          <w14:textFill>
            <w14:solidFill>
              <w14:schemeClr w14:val="tx1"/>
            </w14:solidFill>
          </w14:textFill>
        </w:rPr>
        <w:t>（2.703%）、</w:t>
      </w:r>
      <w:r>
        <w:rPr>
          <w:rFonts w:hint="eastAsia" w:ascii="宋体" w:hAnsi="宋体" w:eastAsia="宋体" w:cs="宋体"/>
          <w:b/>
          <w:bCs/>
          <w:color w:val="000000" w:themeColor="text1"/>
          <w:sz w:val="24"/>
          <w14:textFill>
            <w14:solidFill>
              <w14:schemeClr w14:val="tx1"/>
            </w14:solidFill>
          </w14:textFill>
        </w:rPr>
        <w:t>其他</w:t>
      </w:r>
      <w:r>
        <w:rPr>
          <w:rFonts w:hint="eastAsia" w:ascii="宋体" w:hAnsi="宋体" w:eastAsia="宋体" w:cs="宋体"/>
          <w:color w:val="000000" w:themeColor="text1"/>
          <w:sz w:val="24"/>
          <w14:textFill>
            <w14:solidFill>
              <w14:schemeClr w14:val="tx1"/>
            </w14:solidFill>
          </w14:textFill>
        </w:rPr>
        <w:t>（2.027%）、</w:t>
      </w:r>
      <w:r>
        <w:rPr>
          <w:rFonts w:hint="eastAsia" w:ascii="宋体" w:hAnsi="宋体" w:eastAsia="宋体" w:cs="宋体"/>
          <w:b/>
          <w:bCs/>
          <w:color w:val="000000" w:themeColor="text1"/>
          <w:sz w:val="24"/>
          <w14:textFill>
            <w14:solidFill>
              <w14:schemeClr w14:val="tx1"/>
            </w14:solidFill>
          </w14:textFill>
        </w:rPr>
        <w:t>退店保证金不退还</w:t>
      </w:r>
      <w:r>
        <w:rPr>
          <w:rFonts w:hint="eastAsia" w:ascii="宋体" w:hAnsi="宋体" w:eastAsia="宋体" w:cs="宋体"/>
          <w:color w:val="000000" w:themeColor="text1"/>
          <w:sz w:val="24"/>
          <w14:textFill>
            <w14:solidFill>
              <w14:schemeClr w14:val="tx1"/>
            </w14:solidFill>
          </w14:textFill>
        </w:rPr>
        <w:t>（1.351%）、</w:t>
      </w:r>
      <w:r>
        <w:rPr>
          <w:rFonts w:hint="eastAsia" w:ascii="宋体" w:hAnsi="宋体" w:eastAsia="宋体" w:cs="宋体"/>
          <w:b/>
          <w:bCs/>
          <w:color w:val="000000" w:themeColor="text1"/>
          <w:sz w:val="24"/>
          <w14:textFill>
            <w14:solidFill>
              <w14:schemeClr w14:val="tx1"/>
            </w14:solidFill>
          </w14:textFill>
        </w:rPr>
        <w:t>发货问题</w:t>
      </w:r>
      <w:r>
        <w:rPr>
          <w:rFonts w:hint="eastAsia" w:ascii="宋体" w:hAnsi="宋体" w:eastAsia="宋体" w:cs="宋体"/>
          <w:color w:val="000000" w:themeColor="text1"/>
          <w:sz w:val="24"/>
          <w14:textFill>
            <w14:solidFill>
              <w14:schemeClr w14:val="tx1"/>
            </w14:solidFill>
          </w14:textFill>
        </w:rPr>
        <w:t>（0.676%）。</w:t>
      </w:r>
      <w:bookmarkEnd w:id="7"/>
      <w:bookmarkEnd w:id="8"/>
    </w:p>
    <w:p>
      <w:pPr>
        <w:spacing w:before="156" w:beforeLines="50" w:line="360" w:lineRule="auto"/>
        <w:rPr>
          <w:rFonts w:asciiTheme="minorEastAsia" w:hAnsiTheme="minorEastAsia" w:cstheme="minorEastAsia"/>
        </w:rPr>
      </w:pPr>
      <w:r>
        <w:drawing>
          <wp:inline distT="0" distB="0" distL="114300" distR="114300">
            <wp:extent cx="5268595" cy="3574415"/>
            <wp:effectExtent l="0" t="0" r="825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9"/>
                    <a:stretch>
                      <a:fillRect/>
                    </a:stretch>
                  </pic:blipFill>
                  <pic:spPr>
                    <a:xfrm>
                      <a:off x="0" y="0"/>
                      <a:ext cx="5268595" cy="3574415"/>
                    </a:xfrm>
                    <a:prstGeom prst="rect">
                      <a:avLst/>
                    </a:prstGeom>
                    <a:noFill/>
                    <a:ln>
                      <a:noFill/>
                    </a:ln>
                  </pic:spPr>
                </pic:pic>
              </a:graphicData>
            </a:graphic>
          </wp:inline>
        </w:drawing>
      </w:r>
    </w:p>
    <w:p>
      <w:pPr>
        <w:pStyle w:val="3"/>
        <w:rPr>
          <w:rFonts w:asciiTheme="minorEastAsia" w:hAnsiTheme="minorEastAsia" w:cstheme="minorEastAsia"/>
        </w:rPr>
      </w:pPr>
      <w:bookmarkStart w:id="9" w:name="_Toc17807"/>
      <w:bookmarkStart w:id="10" w:name="_Toc24935"/>
      <w:r>
        <w:rPr>
          <w:rFonts w:hint="eastAsia"/>
        </w:rPr>
        <w:t>（二）投诉地区分布</w:t>
      </w:r>
      <w:bookmarkEnd w:id="9"/>
      <w:bookmarkEnd w:id="10"/>
    </w:p>
    <w:p>
      <w:pPr>
        <w:spacing w:before="156" w:beforeLines="50" w:line="360" w:lineRule="auto"/>
        <w:ind w:firstLine="480" w:firstLineChars="200"/>
        <w:rPr>
          <w:rFonts w:ascii="宋体" w:hAnsi="宋体" w:eastAsia="宋体" w:cs="宋体"/>
          <w:sz w:val="24"/>
        </w:rPr>
      </w:pPr>
      <w:r>
        <w:rPr>
          <w:rFonts w:hint="eastAsia" w:ascii="宋体" w:hAnsi="宋体" w:eastAsia="宋体" w:cs="宋体"/>
          <w:sz w:val="24"/>
        </w:rPr>
        <w:t>2024年Q4“电诉宝”受理投诉用户聚集地区</w:t>
      </w:r>
      <w:r>
        <w:rPr>
          <w:rFonts w:hint="eastAsia" w:ascii="宋体" w:hAnsi="宋体" w:eastAsia="宋体" w:cs="宋体"/>
          <w:b/>
          <w:bCs/>
          <w:sz w:val="24"/>
        </w:rPr>
        <w:t>TOP10</w:t>
      </w:r>
      <w:r>
        <w:rPr>
          <w:rFonts w:hint="eastAsia" w:ascii="宋体" w:hAnsi="宋体" w:eastAsia="宋体" w:cs="宋体"/>
          <w:sz w:val="24"/>
        </w:rPr>
        <w:t>依次为四川省（8.108%）、广东省（7.432%）、山东省（6.757%）、北京市（6.081%）、河北省（5.405%）、河南省（5.405%）浙江省（5.405%）、湖南省（5.405%）、福建省（5.405%）、江苏省（4.73%）。</w:t>
      </w:r>
    </w:p>
    <w:p>
      <w:pPr>
        <w:spacing w:before="156" w:beforeLines="50" w:line="360" w:lineRule="auto"/>
        <w:jc w:val="center"/>
        <w:rPr>
          <w:rFonts w:ascii="宋体" w:hAnsi="宋体" w:eastAsia="宋体" w:cs="宋体"/>
          <w:sz w:val="24"/>
        </w:rPr>
      </w:pPr>
      <w:r>
        <w:drawing>
          <wp:inline distT="0" distB="0" distL="114300" distR="114300">
            <wp:extent cx="5273675" cy="3532505"/>
            <wp:effectExtent l="0" t="0" r="317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73675" cy="3532505"/>
                    </a:xfrm>
                    <a:prstGeom prst="rect">
                      <a:avLst/>
                    </a:prstGeom>
                    <a:noFill/>
                    <a:ln>
                      <a:noFill/>
                    </a:ln>
                  </pic:spPr>
                </pic:pic>
              </a:graphicData>
            </a:graphic>
          </wp:inline>
        </w:drawing>
      </w:r>
    </w:p>
    <w:p>
      <w:pPr>
        <w:pStyle w:val="3"/>
        <w:rPr>
          <w:rFonts w:asciiTheme="minorEastAsia" w:hAnsiTheme="minorEastAsia" w:cstheme="minorEastAsia"/>
        </w:rPr>
      </w:pPr>
      <w:bookmarkStart w:id="11" w:name="_Toc20817"/>
      <w:bookmarkStart w:id="12" w:name="_Toc11980"/>
      <w:r>
        <w:rPr>
          <w:rFonts w:hint="eastAsia"/>
        </w:rPr>
        <w:t>（三）投诉用户性别分布</w:t>
      </w:r>
      <w:bookmarkEnd w:id="11"/>
      <w:bookmarkEnd w:id="12"/>
    </w:p>
    <w:p>
      <w:pPr>
        <w:spacing w:before="156" w:beforeLines="50" w:line="360" w:lineRule="auto"/>
        <w:ind w:firstLine="480" w:firstLineChars="200"/>
        <w:rPr>
          <w:rFonts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据“电诉宝”显示，Q4男性用户投诉比例为</w:t>
      </w:r>
      <w:r>
        <w:rPr>
          <w:rFonts w:hint="eastAsia" w:ascii="宋体" w:hAnsi="宋体" w:eastAsia="宋体" w:cs="宋体"/>
          <w:b/>
          <w:bCs/>
          <w:color w:val="000000" w:themeColor="text1"/>
          <w:sz w:val="24"/>
          <w14:textFill>
            <w14:solidFill>
              <w14:schemeClr w14:val="tx1"/>
            </w14:solidFill>
          </w14:textFill>
        </w:rPr>
        <w:t>37.838%</w:t>
      </w:r>
      <w:r>
        <w:rPr>
          <w:rFonts w:hint="eastAsia" w:ascii="宋体" w:hAnsi="宋体" w:eastAsia="宋体" w:cs="宋体"/>
          <w:color w:val="000000" w:themeColor="text1"/>
          <w:sz w:val="24"/>
          <w14:textFill>
            <w14:solidFill>
              <w14:schemeClr w14:val="tx1"/>
            </w14:solidFill>
          </w14:textFill>
        </w:rPr>
        <w:t>，女性用户投诉比例为</w:t>
      </w:r>
      <w:r>
        <w:rPr>
          <w:rFonts w:hint="eastAsia" w:ascii="宋体" w:hAnsi="宋体" w:eastAsia="宋体" w:cs="宋体"/>
          <w:b/>
          <w:bCs/>
          <w:color w:val="000000" w:themeColor="text1"/>
          <w:sz w:val="24"/>
          <w14:textFill>
            <w14:solidFill>
              <w14:schemeClr w14:val="tx1"/>
            </w14:solidFill>
          </w14:textFill>
        </w:rPr>
        <w:t>62.162%</w:t>
      </w:r>
      <w:r>
        <w:rPr>
          <w:rFonts w:hint="eastAsia" w:ascii="宋体" w:hAnsi="宋体" w:eastAsia="宋体" w:cs="宋体"/>
          <w:color w:val="000000" w:themeColor="text1"/>
          <w:sz w:val="24"/>
          <w14:textFill>
            <w14:solidFill>
              <w14:schemeClr w14:val="tx1"/>
            </w14:solidFill>
          </w14:textFill>
        </w:rPr>
        <w:t>。</w:t>
      </w:r>
    </w:p>
    <w:p>
      <w:pPr>
        <w:spacing w:before="156" w:beforeLines="50" w:line="360" w:lineRule="auto"/>
        <w:rPr>
          <w:rFonts w:ascii="宋体" w:hAnsi="宋体" w:eastAsia="宋体" w:cs="宋体"/>
          <w:color w:val="000000" w:themeColor="text1"/>
          <w:sz w:val="24"/>
          <w14:textFill>
            <w14:solidFill>
              <w14:schemeClr w14:val="tx1"/>
            </w14:solidFill>
          </w14:textFill>
        </w:rPr>
      </w:pPr>
      <w:r>
        <w:drawing>
          <wp:inline distT="0" distB="0" distL="114300" distR="114300">
            <wp:extent cx="5271135" cy="3569970"/>
            <wp:effectExtent l="0" t="0" r="5715"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1135" cy="3569970"/>
                    </a:xfrm>
                    <a:prstGeom prst="rect">
                      <a:avLst/>
                    </a:prstGeom>
                    <a:noFill/>
                    <a:ln>
                      <a:noFill/>
                    </a:ln>
                  </pic:spPr>
                </pic:pic>
              </a:graphicData>
            </a:graphic>
          </wp:inline>
        </w:drawing>
      </w:r>
    </w:p>
    <w:p>
      <w:pPr>
        <w:pStyle w:val="3"/>
      </w:pPr>
      <w:bookmarkStart w:id="13" w:name="_Toc25228"/>
      <w:bookmarkStart w:id="14" w:name="_Toc2843"/>
      <w:r>
        <w:rPr>
          <w:rFonts w:hint="eastAsia"/>
        </w:rPr>
        <w:t>（四）投诉金额区间分布</w:t>
      </w:r>
      <w:bookmarkEnd w:id="13"/>
      <w:bookmarkEnd w:id="14"/>
      <w:r>
        <w:rPr>
          <w:rFonts w:hint="eastAsia"/>
        </w:rPr>
        <w:tab/>
      </w:r>
      <w:bookmarkStart w:id="15" w:name="_Toc6336"/>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据“电诉宝”显示，</w:t>
      </w:r>
      <w:r>
        <w:rPr>
          <w:rFonts w:hint="eastAsia" w:ascii="宋体" w:hAnsi="宋体" w:eastAsia="宋体" w:cs="宋体"/>
          <w:sz w:val="24"/>
        </w:rPr>
        <w:t>Q4</w:t>
      </w:r>
      <w:r>
        <w:rPr>
          <w:rFonts w:hint="eastAsia"/>
          <w:color w:val="000000" w:themeColor="text1"/>
          <w:sz w:val="24"/>
          <w14:textFill>
            <w14:solidFill>
              <w14:schemeClr w14:val="tx1"/>
            </w14:solidFill>
          </w14:textFill>
        </w:rPr>
        <w:t>投诉金额分布主要集中在5000-10000元（29.73%）、10000元以上（25.676%）、1000-5000元（14.865%）、100-500元（5.405%）、0-5万元（0.676%）、未选择金额（20.27%）。</w:t>
      </w:r>
    </w:p>
    <w:p>
      <w:pPr>
        <w:spacing w:before="156" w:beforeLines="50" w:line="360" w:lineRule="auto"/>
        <w:rPr>
          <w:color w:val="000000" w:themeColor="text1"/>
          <w:sz w:val="24"/>
          <w14:textFill>
            <w14:solidFill>
              <w14:schemeClr w14:val="tx1"/>
            </w14:solidFill>
          </w14:textFill>
        </w:rPr>
      </w:pPr>
      <w:r>
        <w:drawing>
          <wp:inline distT="0" distB="0" distL="114300" distR="114300">
            <wp:extent cx="5269865" cy="3541395"/>
            <wp:effectExtent l="0" t="0" r="6985" b="190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269865" cy="3541395"/>
                    </a:xfrm>
                    <a:prstGeom prst="rect">
                      <a:avLst/>
                    </a:prstGeom>
                    <a:noFill/>
                    <a:ln>
                      <a:noFill/>
                    </a:ln>
                  </pic:spPr>
                </pic:pic>
              </a:graphicData>
            </a:graphic>
          </wp:inline>
        </w:drawing>
      </w:r>
    </w:p>
    <w:bookmarkEnd w:id="15"/>
    <w:p>
      <w:pPr>
        <w:pStyle w:val="2"/>
        <w:rPr>
          <w:rFonts w:ascii="宋体" w:hAnsi="宋体" w:eastAsia="宋体" w:cs="宋体"/>
          <w:sz w:val="24"/>
        </w:rPr>
      </w:pPr>
      <w:bookmarkStart w:id="16" w:name="_Toc2103"/>
      <w:bookmarkStart w:id="17" w:name="_Toc31217"/>
      <w:r>
        <w:rPr>
          <w:rFonts w:hint="eastAsia" w:ascii="微软雅黑" w:hAnsi="微软雅黑" w:eastAsia="微软雅黑" w:cs="微软雅黑"/>
          <w:sz w:val="32"/>
          <w:szCs w:val="32"/>
        </w:rPr>
        <w:t>三、</w:t>
      </w:r>
      <w:bookmarkEnd w:id="16"/>
      <w:r>
        <w:rPr>
          <w:rFonts w:hint="eastAsia" w:ascii="微软雅黑" w:hAnsi="微软雅黑" w:eastAsia="微软雅黑" w:cs="微软雅黑"/>
          <w:sz w:val="32"/>
          <w:szCs w:val="32"/>
        </w:rPr>
        <w:t>评级数据与典型案例</w:t>
      </w:r>
      <w:bookmarkEnd w:id="17"/>
    </w:p>
    <w:p>
      <w:pPr>
        <w:pStyle w:val="3"/>
      </w:pPr>
      <w:bookmarkStart w:id="18" w:name="_Toc18568"/>
      <w:r>
        <w:rPr>
          <w:rFonts w:hint="eastAsia"/>
        </w:rPr>
        <w:t>（一）2024年Q4“网易云课堂”获“建议下单”</w:t>
      </w:r>
      <w:bookmarkEnd w:id="18"/>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 Q4“网易云课堂”涉嫌存在</w:t>
      </w:r>
      <w:r>
        <w:rPr>
          <w:rFonts w:hint="eastAsia"/>
          <w:b/>
          <w:bCs/>
          <w:color w:val="000000" w:themeColor="text1"/>
          <w:sz w:val="24"/>
          <w14:textFill>
            <w14:solidFill>
              <w14:schemeClr w14:val="tx1"/>
            </w14:solidFill>
          </w14:textFill>
        </w:rPr>
        <w:t>售后服务、退款问题、其他、虚假促销</w:t>
      </w:r>
      <w:r>
        <w:rPr>
          <w:rFonts w:hint="eastAsia"/>
          <w:color w:val="000000" w:themeColor="text1"/>
          <w:sz w:val="24"/>
          <w14:textFill>
            <w14:solidFill>
              <w14:schemeClr w14:val="tx1"/>
            </w14:solidFill>
          </w14:textFill>
        </w:rPr>
        <w:t>等问题；用户投诉金额主要在100-500 元、1000-5000元、未选择金额等区间；其中，男性用户占比 33.33%，女性用户占比66.67%。</w:t>
      </w:r>
    </w:p>
    <w:p>
      <w:pPr>
        <w:spacing w:before="156" w:beforeLines="50" w:line="360" w:lineRule="auto"/>
        <w:jc w:val="center"/>
        <w:rPr>
          <w:rFonts w:ascii="宋体" w:hAnsi="宋体" w:eastAsia="宋体" w:cs="宋体"/>
          <w:b/>
          <w:sz w:val="24"/>
        </w:rPr>
      </w:pPr>
      <w:r>
        <w:drawing>
          <wp:inline distT="0" distB="0" distL="114300" distR="114300">
            <wp:extent cx="5267325" cy="3545840"/>
            <wp:effectExtent l="0" t="0" r="9525" b="1651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3"/>
                    <a:stretch>
                      <a:fillRect/>
                    </a:stretch>
                  </pic:blipFill>
                  <pic:spPr>
                    <a:xfrm>
                      <a:off x="0" y="0"/>
                      <a:ext cx="5267325" cy="3545840"/>
                    </a:xfrm>
                    <a:prstGeom prst="rect">
                      <a:avLst/>
                    </a:prstGeom>
                    <a:noFill/>
                    <a:ln>
                      <a:noFill/>
                    </a:ln>
                  </pic:spPr>
                </pic:pic>
              </a:graphicData>
            </a:graphic>
          </wp:inline>
        </w:drawing>
      </w:r>
    </w:p>
    <w:p>
      <w:pPr>
        <w:spacing w:before="156"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【案例一】用户投诉“网易云课堂”客服虚假承诺欺诈 导致错过7天无理由退换期</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11月20日，</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"http://www.100ec.cn/zt/df/"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山东</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省的霍女士向“电诉宝”投诉称其于7月31日在网易云课堂购买的一门公共营养师线上课程的问题。霍女士反映她是在网易云课堂的微信</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"http://www.100ec.cn/Index/complaintData.html"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客服</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的指引下，于</w:t>
      </w:r>
      <w:r>
        <w:fldChar w:fldCharType="begin"/>
      </w:r>
      <w:r>
        <w:instrText xml:space="preserve"> HYPERLINK "http://www.100ec.cn/Index/complain_search.html?company=%E6%B7%98%E5%AE%9D" \t "http://www.100ec.cn/_blank" </w:instrText>
      </w:r>
      <w:r>
        <w:fldChar w:fldCharType="separate"/>
      </w:r>
      <w:r>
        <w:rPr>
          <w:rFonts w:cstheme="minorBidi"/>
          <w:color w:val="000000" w:themeColor="text1"/>
          <w:kern w:val="2"/>
          <w14:textFill>
            <w14:solidFill>
              <w14:schemeClr w14:val="tx1"/>
            </w14:solidFill>
          </w14:textFill>
        </w:rPr>
        <w:t>淘宝</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平台上完成了这门课程的购买。在购买之前，该微信客服并未清晰地向她说明该线上课程的有效期限制为一年。成功购买并兑换课程后，才发现这一有效期限制。</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霍女士与客服进行沟通，客服在此时向她保证可以无限次听课，直至通过考试。霍女士表示，如果客服在购买前明确告知了课程的有效期，她不会选择购买，如果客服没有做出虚假的承诺，她本有机会在7天内无理由申请退款。然而，由于网易云课堂方面的隐瞒和误导，她错过了申请</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"http://www.100ec.cn/Index/complaintData.html"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售后</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的时间窗口。</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当霍女士11月19日再次登录网易云课堂APP时，发现所购买的课程已经过期。她随即联系了APP内的在线客服，但被告知需要联系当时购买课程时对接的微信客服。然而，这位微信客服已经离职。霍女士随后又尝试联系新的微信客服，但得到的回复是，之前做出的承诺由于涉事的客服已被辞退而作废。</w:t>
      </w:r>
    </w:p>
    <w:p>
      <w:pPr>
        <w:pStyle w:val="10"/>
        <w:widowControl/>
        <w:shd w:val="clear" w:color="auto" w:fill="FFFFFF"/>
        <w:spacing w:before="150" w:beforeAutospacing="0" w:after="150" w:afterAutospacing="0" w:line="420" w:lineRule="atLeast"/>
        <w:ind w:firstLine="420"/>
        <w:rPr>
          <w:rFonts w:ascii="Arial" w:hAnsi="Arial" w:cs="Arial"/>
          <w:color w:val="333333"/>
          <w:shd w:val="clear" w:color="auto" w:fill="FFFFFF"/>
        </w:rPr>
      </w:pPr>
      <w:r>
        <w:rPr>
          <w:rFonts w:cstheme="minorBidi"/>
          <w:color w:val="000000" w:themeColor="text1"/>
          <w:kern w:val="2"/>
          <w14:textFill>
            <w14:solidFill>
              <w14:schemeClr w14:val="tx1"/>
            </w14:solidFill>
          </w14:textFill>
        </w:rPr>
        <w:t>接到该用户投诉后，我们第一时间将投诉案件移交该平台相关工作人员督办妥善处理，对此，“</w:t>
      </w:r>
      <w:r>
        <w:fldChar w:fldCharType="begin"/>
      </w:r>
      <w:r>
        <w:instrText xml:space="preserve"> HYPERLINK "http://www.100ec.cn/zt/qy_wy/" </w:instrText>
      </w:r>
      <w:r>
        <w:fldChar w:fldCharType="separate"/>
      </w:r>
      <w:r>
        <w:fldChar w:fldCharType="end"/>
      </w:r>
      <w:r>
        <w:fldChar w:fldCharType="begin"/>
      </w:r>
      <w:r>
        <w:instrText xml:space="preserve"> HYPERLINK "http://www.100ec.cn/zt/qy_wy/" </w:instrText>
      </w:r>
      <w:r>
        <w:fldChar w:fldCharType="separate"/>
      </w:r>
      <w:r>
        <w:rPr>
          <w:rFonts w:cstheme="minorBidi"/>
          <w:color w:val="000000" w:themeColor="text1"/>
          <w:kern w:val="2"/>
          <w14:textFill>
            <w14:solidFill>
              <w14:schemeClr w14:val="tx1"/>
            </w14:solidFill>
          </w14:textFill>
        </w:rPr>
        <w:t>网易</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云课堂”工作人员回复：尊敬的用户您好，关于您反馈的问题已有安排我司售后专员致电联系您为您处理，还请您以专员的回复为准即可，感谢您的支持，祝您学业有成，生活愉快~</w:t>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bookmarkStart w:id="19" w:name="_Toc22624"/>
      <w:r>
        <w:rPr>
          <w:rFonts w:cstheme="minorBidi"/>
          <w:b/>
          <w:bCs/>
          <w:color w:val="000000" w:themeColor="text1"/>
          <w:kern w:val="2"/>
          <w14:textFill>
            <w14:solidFill>
              <w14:schemeClr w14:val="tx1"/>
            </w14:solidFill>
          </w14:textFill>
        </w:rPr>
        <w:t>【</w:t>
      </w:r>
      <w:r>
        <w:rPr>
          <w:rFonts w:cstheme="minorBidi"/>
          <w:b/>
          <w:bCs/>
          <w:color w:val="000000" w:themeColor="text1"/>
          <w:kern w:val="2"/>
          <w14:textFill>
            <w14:solidFill>
              <w14:schemeClr w14:val="tx1"/>
            </w14:solidFill>
          </w14:textFill>
        </w:rPr>
        <w:fldChar w:fldCharType="begin"/>
      </w:r>
      <w:r>
        <w:rPr>
          <w:rFonts w:cstheme="minorBidi"/>
          <w:b/>
          <w:bCs/>
          <w:color w:val="000000" w:themeColor="text1"/>
          <w:kern w:val="2"/>
          <w14:textFill>
            <w14:solidFill>
              <w14:schemeClr w14:val="tx1"/>
            </w14:solidFill>
          </w14:textFill>
        </w:rPr>
        <w:instrText xml:space="preserve"> HYPERLINK "http://www.100ec.cn/zt/anlk/" </w:instrText>
      </w:r>
      <w:r>
        <w:rPr>
          <w:rFonts w:cstheme="minorBidi"/>
          <w:b/>
          <w:bCs/>
          <w:color w:val="000000" w:themeColor="text1"/>
          <w:kern w:val="2"/>
          <w14:textFill>
            <w14:solidFill>
              <w14:schemeClr w14:val="tx1"/>
            </w14:solidFill>
          </w14:textFill>
        </w:rPr>
        <w:fldChar w:fldCharType="separate"/>
      </w:r>
      <w:r>
        <w:rPr>
          <w:rFonts w:cstheme="minorBidi"/>
          <w:b/>
          <w:bCs/>
          <w:color w:val="000000" w:themeColor="text1"/>
          <w:kern w:val="2"/>
          <w14:textFill>
            <w14:solidFill>
              <w14:schemeClr w14:val="tx1"/>
            </w14:solidFill>
          </w14:textFill>
        </w:rPr>
        <w:t>案例</w:t>
      </w:r>
      <w:r>
        <w:rPr>
          <w:rFonts w:cstheme="minorBidi"/>
          <w:b/>
          <w:bCs/>
          <w:color w:val="000000" w:themeColor="text1"/>
          <w:kern w:val="2"/>
          <w14:textFill>
            <w14:solidFill>
              <w14:schemeClr w14:val="tx1"/>
            </w14:solidFill>
          </w14:textFill>
        </w:rPr>
        <w:fldChar w:fldCharType="end"/>
      </w:r>
      <w:r>
        <w:rPr>
          <w:rFonts w:cstheme="minorBidi"/>
          <w:b/>
          <w:bCs/>
          <w:color w:val="000000" w:themeColor="text1"/>
          <w:kern w:val="2"/>
          <w14:textFill>
            <w14:solidFill>
              <w14:schemeClr w14:val="tx1"/>
            </w14:solidFill>
          </w14:textFill>
        </w:rPr>
        <w:t>二】虚假宣传？“网易云课堂”被指客服互相踢皮球 霸王条款不退款</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11月14日，陕西省的汤先生向“电诉宝”投诉称其于7月9日在淘宝平台购买的网易云课堂四级</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"http://www.100ec.cn/edunav/"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网课</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服务。购买该课程后发现，网易云课堂所宣传的督学服务与实际提供的服务存在明显不符。在购买课程时，网易云课堂宣传的是班主任伴学全程规划、保姆级服务，但实际情况却是只是简单地打包了几个视频供学员自行观看。此外，宣传中提到的月度班会也并未如期举行，而所谓的双群课程提醒也仅仅是在一个微信群里进行，且全程只有一个类似机器人的账号在发布上课通知，缺乏实质性的互动和帮助。宣传中提到的“三师驻群”也并未出现，答疑服务也仅限于每周五在线，这与宣传中的服务标准相去甚远。</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当汤先生申请退款时，却遭到了拒绝。他联系了淘宝平台的客服，但得到的回复是让他去联系网易云课堂的客服。而当他再次联系网易云课堂的客服时，对方却非常敷衍，一直在打太极，不直接回应他的问题，最后只是发了一张不支持无理由退款的截图，并一味地解释他们的服务内容。</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接到该用户投诉后，我们第一时间将投诉案件移交该平台相关工作人员督办妥善处理，对此，“</w:t>
      </w:r>
      <w:r>
        <w:fldChar w:fldCharType="begin"/>
      </w:r>
      <w:r>
        <w:instrText xml:space="preserve"> HYPERLINK "http://www.100ec.cn/zt/qy_wy/" </w:instrText>
      </w:r>
      <w:r>
        <w:fldChar w:fldCharType="separate"/>
      </w:r>
      <w:r>
        <w:fldChar w:fldCharType="end"/>
      </w:r>
      <w:r>
        <w:fldChar w:fldCharType="begin"/>
      </w:r>
      <w:r>
        <w:instrText xml:space="preserve"> HYPERLINK "http://www.100ec.cn/zt/qy_wy/" </w:instrText>
      </w:r>
      <w:r>
        <w:fldChar w:fldCharType="separate"/>
      </w:r>
      <w:r>
        <w:rPr>
          <w:rFonts w:cstheme="minorBidi"/>
          <w:color w:val="000000" w:themeColor="text1"/>
          <w:kern w:val="2"/>
          <w14:textFill>
            <w14:solidFill>
              <w14:schemeClr w14:val="tx1"/>
            </w14:solidFill>
          </w14:textFill>
        </w:rPr>
        <w:t>网易</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云课堂”工作人员回复：尊敬的用户您好，关于您反馈的问题已有安排我司售后专员致电联系您为您处理，还请您以专员的回复为准即可，感谢您的支持，祝您学业有成，生活愉快~</w:t>
      </w:r>
    </w:p>
    <w:p>
      <w:pPr>
        <w:pStyle w:val="3"/>
      </w:pPr>
      <w:r>
        <w:rPr>
          <w:rFonts w:hint="eastAsia"/>
        </w:rPr>
        <w:t>（二）2024年Q4“帮考网”获“谨慎下单”</w:t>
      </w:r>
      <w:bookmarkEnd w:id="19"/>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2024年Q4“帮考网”涉嫌存在</w:t>
      </w:r>
      <w:r>
        <w:rPr>
          <w:rFonts w:hint="eastAsia"/>
          <w:b/>
          <w:bCs/>
          <w:color w:val="000000" w:themeColor="text1"/>
          <w:sz w:val="24"/>
          <w14:textFill>
            <w14:solidFill>
              <w14:schemeClr w14:val="tx1"/>
            </w14:solidFill>
          </w14:textFill>
        </w:rPr>
        <w:t>退款问题、售后服务、虚假促销、霸王条款</w:t>
      </w:r>
      <w:r>
        <w:rPr>
          <w:rFonts w:hint="eastAsia"/>
          <w:color w:val="000000" w:themeColor="text1"/>
          <w:sz w:val="24"/>
          <w14:textFill>
            <w14:solidFill>
              <w14:schemeClr w14:val="tx1"/>
            </w14:solidFill>
          </w14:textFill>
        </w:rPr>
        <w:t>等问题；用户投诉金额主要在10000元以上、1000-5000 元、5000-10000 元、未选择金额等区间；其中，女性用户投诉占比77.78%，男性用户占比22.22%。</w:t>
      </w:r>
    </w:p>
    <w:p>
      <w:pPr>
        <w:spacing w:before="156" w:beforeLines="50" w:line="360" w:lineRule="auto"/>
        <w:jc w:val="center"/>
        <w:rPr>
          <w:rFonts w:ascii="宋体" w:hAnsi="宋体" w:eastAsia="宋体" w:cs="宋体"/>
          <w:b/>
          <w:sz w:val="24"/>
        </w:rPr>
      </w:pPr>
      <w:r>
        <w:drawing>
          <wp:inline distT="0" distB="0" distL="114300" distR="114300">
            <wp:extent cx="5271135" cy="3475355"/>
            <wp:effectExtent l="0" t="0" r="5715" b="1079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4"/>
                    <a:stretch>
                      <a:fillRect/>
                    </a:stretch>
                  </pic:blipFill>
                  <pic:spPr>
                    <a:xfrm>
                      <a:off x="0" y="0"/>
                      <a:ext cx="5271135" cy="3475355"/>
                    </a:xfrm>
                    <a:prstGeom prst="rect">
                      <a:avLst/>
                    </a:prstGeom>
                    <a:noFill/>
                    <a:ln>
                      <a:noFill/>
                    </a:ln>
                  </pic:spPr>
                </pic:pic>
              </a:graphicData>
            </a:graphic>
          </wp:inline>
        </w:drawing>
      </w:r>
    </w:p>
    <w:p>
      <w:pPr>
        <w:spacing w:before="156"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【案例一】</w:t>
      </w:r>
      <w:r>
        <w:rPr>
          <w:b/>
          <w:bCs/>
          <w:color w:val="000000" w:themeColor="text1"/>
          <w:sz w:val="24"/>
          <w14:textFill>
            <w14:solidFill>
              <w14:schemeClr w14:val="tx1"/>
            </w14:solidFill>
          </w14:textFill>
        </w:rPr>
        <w:t>“帮考网”被指报名后服务缺失 频繁推荐升级课程</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11月19日，</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HYPERLINK "http://www.100ec.cn/zt/df/" \t "http://www.100ec.cn/_blank"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t>天津</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市曹先生向“电诉宝”投诉称其在2020年开始在帮考网报名学习注册会计师，起初报名学习，后来在学习过程中加了无数个帮考网的</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HYPERLINK "http://www.100ec.cn/zt/rcpd/" \t "http://www.100ec.cn/_blank"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fldChar w:fldCharType="end"/>
      </w:r>
      <w:r>
        <w:fldChar w:fldCharType="begin"/>
      </w:r>
      <w:r>
        <w:instrText xml:space="preserve"> HYPERLINK "http://www.100ec.cn/edunav/" \t "http://www.100ec.cn/_blank" </w:instrText>
      </w:r>
      <w:r>
        <w:fldChar w:fldCharType="separate"/>
      </w:r>
      <w:r>
        <w:rPr>
          <w:color w:val="000000" w:themeColor="text1"/>
          <w:sz w:val="24"/>
          <w14:textFill>
            <w14:solidFill>
              <w14:schemeClr w14:val="tx1"/>
            </w14:solidFill>
          </w14:textFill>
        </w:rPr>
        <w:t>培训</w:t>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老师，班主任，课程顾问，之后学习过程中一直在推荐升级更高级的课程，总共花了44639.60元的费用，交完钱，升级完课程没有老师搭理，没有老师发课表，不知道学习时间，发广告推荐学习课程不断。</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曹先生表示现在不想学习了，没事就发各种考试的报名宣传，从来不发关于已经报了课的资料什么。近两年关于微信里面帮考网的老师已经不下20个人了，发广告很及时，关于考试的信息报名，缴费，打印准考证的资料一个也没有。</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接到以上用户投诉后，我们第一时间将投诉案件移交该平台相关工作人员督办妥善处理，但截至发稿前，我们尚未收到来自被投诉平台的任何有关处理回复。</w:t>
      </w:r>
    </w:p>
    <w:p>
      <w:pPr>
        <w:spacing w:before="156" w:beforeLines="50" w:line="360" w:lineRule="auto"/>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【案例二】用户投诉“帮考网”称</w:t>
      </w:r>
      <w:r>
        <w:rPr>
          <w:b/>
          <w:bCs/>
          <w:color w:val="000000" w:themeColor="text1"/>
          <w:sz w:val="24"/>
          <w14:textFill>
            <w14:solidFill>
              <w14:schemeClr w14:val="tx1"/>
            </w14:solidFill>
          </w14:textFill>
        </w:rPr>
        <w:fldChar w:fldCharType="begin"/>
      </w:r>
      <w:r>
        <w:rPr>
          <w:b/>
          <w:bCs/>
          <w:color w:val="000000" w:themeColor="text1"/>
          <w:sz w:val="24"/>
          <w14:textFill>
            <w14:solidFill>
              <w14:schemeClr w14:val="tx1"/>
            </w14:solidFill>
          </w14:textFill>
        </w:rPr>
        <w:instrText xml:space="preserve"> HYPERLINK "http://www.100ec.cn/edunav/" \t "http://www.100ec.cn/_blank" </w:instrText>
      </w:r>
      <w:r>
        <w:rPr>
          <w:b/>
          <w:bCs/>
          <w:color w:val="000000" w:themeColor="text1"/>
          <w:sz w:val="24"/>
          <w14:textFill>
            <w14:solidFill>
              <w14:schemeClr w14:val="tx1"/>
            </w14:solidFill>
          </w14:textFill>
        </w:rPr>
        <w:fldChar w:fldCharType="separate"/>
      </w:r>
      <w:r>
        <w:rPr>
          <w:b/>
          <w:bCs/>
          <w:color w:val="000000" w:themeColor="text1"/>
          <w:sz w:val="24"/>
          <w14:textFill>
            <w14:solidFill>
              <w14:schemeClr w14:val="tx1"/>
            </w14:solidFill>
          </w14:textFill>
        </w:rPr>
        <w:t>网课</w:t>
      </w:r>
      <w:r>
        <w:rPr>
          <w:b/>
          <w:bCs/>
          <w:color w:val="000000" w:themeColor="text1"/>
          <w:sz w:val="24"/>
          <w14:textFill>
            <w14:solidFill>
              <w14:schemeClr w14:val="tx1"/>
            </w14:solidFill>
          </w14:textFill>
        </w:rPr>
        <w:fldChar w:fldCharType="end"/>
      </w:r>
      <w:r>
        <w:rPr>
          <w:b/>
          <w:bCs/>
          <w:color w:val="000000" w:themeColor="text1"/>
          <w:sz w:val="24"/>
          <w14:textFill>
            <w14:solidFill>
              <w14:schemeClr w14:val="tx1"/>
            </w14:solidFill>
          </w14:textFill>
        </w:rPr>
        <w:t>未学却遭过期不退 要求退学费</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10月18日，</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"http://www.100ec.cn/zt/df/"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福建</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省的潘女士向“电诉宝”投诉称之前被</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"http://www.100ec.cn/Index/complaintData.html"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客服</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花言巧语骗了，购买帮考网课后，因个人身体原因，一直没有学习。现在心脏不好，还有癌变，治疗需要很多钱。突然想起这个网课没有学，已与客服联系。客服说仅退3000元给我。潘女士不满意，买了上万的课，没学才退这么少。虽然这个网课购买了一段时间了，帮考网又没有倒闭，客服以过期为借口，一直告诉潘女士:过期不能退。</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潘女士查了法律，只要是机构没倒闭，课程不存在过期性，忍无可忍，无法再沟通，才来这个平台投诉。因为没有学，尽量退学费。</w:t>
      </w:r>
    </w:p>
    <w:p>
      <w:pPr>
        <w:pStyle w:val="10"/>
        <w:widowControl/>
        <w:shd w:val="clear" w:color="auto" w:fill="FFFFFF"/>
        <w:spacing w:before="150" w:beforeAutospacing="0" w:after="150" w:afterAutospacing="0" w:line="420" w:lineRule="atLeast"/>
        <w:ind w:firstLine="420"/>
        <w:rPr>
          <w:b/>
          <w:bCs/>
          <w:color w:val="000000" w:themeColor="text1"/>
          <w14:textFill>
            <w14:solidFill>
              <w14:schemeClr w14:val="tx1"/>
            </w14:solidFill>
          </w14:textFill>
        </w:rPr>
      </w:pPr>
      <w:r>
        <w:rPr>
          <w:rFonts w:cstheme="minorBidi"/>
          <w:color w:val="000000" w:themeColor="text1"/>
          <w:kern w:val="2"/>
          <w14:textFill>
            <w14:solidFill>
              <w14:schemeClr w14:val="tx1"/>
            </w14:solidFill>
          </w14:textFill>
        </w:rPr>
        <w:t>接到以上用户投诉后，我们第一时间将投诉案件移交该平台相关工作人员督办妥善处理，但截至发稿前，我们尚未收到来自被投诉平台的任何有关处理回复。</w:t>
      </w:r>
    </w:p>
    <w:p>
      <w:pPr>
        <w:pStyle w:val="3"/>
      </w:pPr>
      <w:bookmarkStart w:id="20" w:name="_Toc18478"/>
      <w:r>
        <w:rPr>
          <w:rFonts w:hint="eastAsia"/>
        </w:rPr>
        <w:t>（三）2024年Q4“尚德机构”获“不予评级”</w:t>
      </w:r>
      <w:bookmarkEnd w:id="20"/>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2024年Q4“尚德机构”涉嫌存在</w:t>
      </w:r>
      <w:r>
        <w:rPr>
          <w:rFonts w:hint="eastAsia"/>
          <w:b/>
          <w:bCs/>
          <w:color w:val="000000" w:themeColor="text1"/>
          <w:sz w:val="24"/>
          <w14:textFill>
            <w14:solidFill>
              <w14:schemeClr w14:val="tx1"/>
            </w14:solidFill>
          </w14:textFill>
        </w:rPr>
        <w:t>退款问题、售后服务、网络欺诈</w:t>
      </w:r>
      <w:r>
        <w:rPr>
          <w:rFonts w:hint="eastAsia"/>
          <w:color w:val="000000" w:themeColor="text1"/>
          <w:sz w:val="24"/>
          <w14:textFill>
            <w14:solidFill>
              <w14:schemeClr w14:val="tx1"/>
            </w14:solidFill>
          </w14:textFill>
        </w:rPr>
        <w:t>等问题；用户投诉金额主要在5000-10000 元、10000元以上、未选择金额等区间；其中，男性用户投诉占比50%，女性用户投诉占比50%。</w:t>
      </w:r>
    </w:p>
    <w:p>
      <w:pPr>
        <w:spacing w:before="156" w:beforeLines="50" w:line="360" w:lineRule="auto"/>
        <w:jc w:val="center"/>
        <w:rPr>
          <w:rFonts w:ascii="宋体" w:hAnsi="宋体" w:eastAsia="宋体" w:cs="宋体"/>
          <w:b/>
          <w:sz w:val="24"/>
        </w:rPr>
      </w:pPr>
      <w:r>
        <w:drawing>
          <wp:inline distT="0" distB="0" distL="114300" distR="114300">
            <wp:extent cx="5267325" cy="3513455"/>
            <wp:effectExtent l="0" t="0" r="9525" b="10795"/>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5"/>
                    <a:stretch>
                      <a:fillRect/>
                    </a:stretch>
                  </pic:blipFill>
                  <pic:spPr>
                    <a:xfrm>
                      <a:off x="0" y="0"/>
                      <a:ext cx="5267325" cy="3513455"/>
                    </a:xfrm>
                    <a:prstGeom prst="rect">
                      <a:avLst/>
                    </a:prstGeom>
                    <a:noFill/>
                    <a:ln>
                      <a:noFill/>
                    </a:ln>
                  </pic:spPr>
                </pic:pic>
              </a:graphicData>
            </a:graphic>
          </wp:inline>
        </w:drawing>
      </w:r>
    </w:p>
    <w:p>
      <w:pPr>
        <w:spacing w:before="156"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【案例一】课程不适合转班 “尚德机构”被指难退费 望按未出勤比例退款</w:t>
      </w:r>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12月17日，</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HYPERLINK "http://www.100ec.cn/zt/df/" \t "http://www.100ec.cn/_blank" </w:instrText>
      </w:r>
      <w:r>
        <w:rPr>
          <w:color w:val="000000" w:themeColor="text1"/>
          <w:sz w:val="24"/>
          <w14:textFill>
            <w14:solidFill>
              <w14:schemeClr w14:val="tx1"/>
            </w14:solidFill>
          </w14:textFill>
        </w:rPr>
        <w:fldChar w:fldCharType="separate"/>
      </w:r>
      <w:r>
        <w:rPr>
          <w:color w:val="000000" w:themeColor="text1"/>
          <w:sz w:val="24"/>
          <w14:textFill>
            <w14:solidFill>
              <w14:schemeClr w14:val="tx1"/>
            </w14:solidFill>
          </w14:textFill>
        </w:rPr>
        <w:fldChar w:fldCharType="end"/>
      </w:r>
      <w:r>
        <w:rPr>
          <w:color w:val="000000" w:themeColor="text1"/>
          <w:sz w:val="24"/>
          <w14:textFill>
            <w14:solidFill>
              <w14:schemeClr w14:val="tx1"/>
            </w14:solidFill>
          </w14:textFill>
        </w:rPr>
        <w:t>湖北省的刘女士向“电诉宝”投诉称其于2018年3月在尚德机构报名【快本】不过退费班，学费7980元，进入课程后发现该课程不适合自己，于是在2019年3月咨询班主任老师，转为【CPA】全科精讲班，费用7800元，差额未退。刘女士表示课程为直播形式，可看回放，每次课程时长要两个多小时，因为自己白天上班，晚上也没这么多时间去学，关键是老师在课上讲很多没用的，与课程内容无关的知识。</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刘女士觉得很浪费时间，就没有继续学下去，当时咨询过退费问题，老师说自己这已经转了课，不能退。刘女士希望平台协助解决退费问题，按未出勤比例来退即可。（当时买课还送了一台999元的得峰笔记本电脑，退费时可扣除此部分）</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 接到该用户投诉后，我们第一时间将投诉案件移交该平台相关工作人员督办妥善处理，但截至发稿前，我们尚未收到来自被投诉平台的任何有关处理回复。</w:t>
      </w:r>
    </w:p>
    <w:p>
      <w:pPr>
        <w:pStyle w:val="10"/>
        <w:widowControl/>
        <w:shd w:val="clear" w:color="auto" w:fill="FFFFFF"/>
        <w:spacing w:before="150" w:beforeAutospacing="0" w:after="150" w:afterAutospacing="0" w:line="420" w:lineRule="atLeast"/>
        <w:ind w:firstLine="420"/>
        <w:rPr>
          <w:rFonts w:ascii="Arial" w:hAnsi="Arial" w:cs="Arial"/>
          <w:color w:val="333333"/>
        </w:rPr>
      </w:pPr>
      <w:r>
        <w:rPr>
          <w:rFonts w:cstheme="minorBidi"/>
          <w:b/>
          <w:bCs/>
          <w:color w:val="000000" w:themeColor="text1"/>
          <w:kern w:val="2"/>
          <w14:textFill>
            <w14:solidFill>
              <w14:schemeClr w14:val="tx1"/>
            </w14:solidFill>
          </w14:textFill>
        </w:rPr>
        <w:t>【案例</w:t>
      </w:r>
      <w:r>
        <w:rPr>
          <w:rFonts w:hint="eastAsia" w:cstheme="minorBidi"/>
          <w:b/>
          <w:bCs/>
          <w:color w:val="000000" w:themeColor="text1"/>
          <w:kern w:val="2"/>
          <w14:textFill>
            <w14:solidFill>
              <w14:schemeClr w14:val="tx1"/>
            </w14:solidFill>
          </w14:textFill>
        </w:rPr>
        <w:t>二</w:t>
      </w:r>
      <w:r>
        <w:rPr>
          <w:rFonts w:cstheme="minorBidi"/>
          <w:b/>
          <w:bCs/>
          <w:color w:val="000000" w:themeColor="text1"/>
          <w:kern w:val="2"/>
          <w14:textFill>
            <w14:solidFill>
              <w14:schemeClr w14:val="tx1"/>
            </w14:solidFill>
          </w14:textFill>
        </w:rPr>
        <w:t>】“尚德机构”被指诱导付款 </w:t>
      </w:r>
      <w:r>
        <w:fldChar w:fldCharType="begin"/>
      </w:r>
      <w:r>
        <w:instrText xml:space="preserve"> HYPERLINK "http://show.s.315.100ec.cn/" \t "http://www.100ec.cn/_blank" </w:instrText>
      </w:r>
      <w:r>
        <w:fldChar w:fldCharType="separate"/>
      </w:r>
      <w:r>
        <w:rPr>
          <w:rFonts w:cstheme="minorBidi"/>
          <w:b/>
          <w:bCs/>
          <w:color w:val="000000" w:themeColor="text1"/>
          <w:kern w:val="2"/>
          <w14:textFill>
            <w14:solidFill>
              <w14:schemeClr w14:val="tx1"/>
            </w14:solidFill>
          </w14:textFill>
        </w:rPr>
        <w:t>退款难</w:t>
      </w:r>
      <w:r>
        <w:rPr>
          <w:rFonts w:cstheme="minorBidi"/>
          <w:b/>
          <w:bCs/>
          <w:color w:val="000000" w:themeColor="text1"/>
          <w:kern w:val="2"/>
          <w14:textFill>
            <w14:solidFill>
              <w14:schemeClr w14:val="tx1"/>
            </w14:solidFill>
          </w14:textFill>
        </w:rPr>
        <w:fldChar w:fldCharType="end"/>
      </w:r>
      <w:r>
        <w:rPr>
          <w:rFonts w:cstheme="minorBidi"/>
          <w:b/>
          <w:bCs/>
          <w:color w:val="000000" w:themeColor="text1"/>
          <w:kern w:val="2"/>
          <w14:textFill>
            <w14:solidFill>
              <w14:schemeClr w14:val="tx1"/>
            </w14:solidFill>
          </w14:textFill>
        </w:rPr>
        <w:t> 个人信息疑泄露</w:t>
      </w:r>
      <w:r>
        <w:rPr>
          <w:rStyle w:val="14"/>
          <w:rFonts w:ascii="Arial" w:hAnsi="Arial" w:cs="Arial"/>
          <w:color w:val="337AB7"/>
          <w:shd w:val="clear" w:color="auto" w:fill="FFFFFF"/>
        </w:rPr>
        <w:fldChar w:fldCharType="begin"/>
      </w:r>
      <w:r>
        <w:rPr>
          <w:rStyle w:val="14"/>
          <w:rFonts w:ascii="Arial" w:hAnsi="Arial" w:cs="Arial"/>
          <w:color w:val="337AB7"/>
          <w:shd w:val="clear" w:color="auto" w:fill="FFFFFF"/>
        </w:rPr>
        <w:instrText xml:space="preserve"> HYPERLINK "http://show.s.315.100ec.cn/" \t "http://www.100ec.cn/_blank" </w:instrText>
      </w:r>
      <w:r>
        <w:rPr>
          <w:rStyle w:val="14"/>
          <w:rFonts w:ascii="Arial" w:hAnsi="Arial" w:cs="Arial"/>
          <w:color w:val="337AB7"/>
          <w:shd w:val="clear" w:color="auto" w:fill="FFFFFF"/>
        </w:rPr>
        <w:fldChar w:fldCharType="separate"/>
      </w:r>
      <w:r>
        <w:rPr>
          <w:rStyle w:val="14"/>
          <w:rFonts w:ascii="Arial" w:hAnsi="Arial" w:cs="Arial"/>
          <w:color w:val="337AB7"/>
          <w:shd w:val="clear" w:color="auto" w:fill="FFFFFF"/>
        </w:rPr>
        <w:fldChar w:fldCharType="end"/>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11月6日，</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"http://www.100ec.cn/zt/df/"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湖南</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省的伍先生向“电诉宝”投诉称其于2022年10月16日，在尚德机构App上被诱导</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"https://www.100ec.cn/zt/wswjsxfpgyl/"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分期</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付款报名课程，承诺学历提升有助于就业。</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伍先生表示未详阅合同即签名，后发现合同在App自动生成，且课程安排与宣传不符，未获发票。伍先生尝试退款遭拒，微信被删，联系班主任后初获希望，但又被告知因合同无法退款。伍先生称个人信息疑被泄露，遭频繁骚扰。尚德机构售后服务差，且以补习班名义催促</w:t>
      </w:r>
      <w:r>
        <w:rPr>
          <w:rFonts w:cstheme="minorBidi"/>
          <w:color w:val="000000" w:themeColor="text1"/>
          <w:kern w:val="2"/>
          <w14:textFill>
            <w14:solidFill>
              <w14:schemeClr w14:val="tx1"/>
            </w14:solidFill>
          </w14:textFill>
        </w:rPr>
        <w:fldChar w:fldCharType="begin"/>
      </w:r>
      <w:r>
        <w:rPr>
          <w:rFonts w:cstheme="minorBidi"/>
          <w:color w:val="000000" w:themeColor="text1"/>
          <w:kern w:val="2"/>
          <w14:textFill>
            <w14:solidFill>
              <w14:schemeClr w14:val="tx1"/>
            </w14:solidFill>
          </w14:textFill>
        </w:rPr>
        <w:instrText xml:space="preserve"> HYPERLINK "https://www.100ec.cn/zt/wswjsxfpgyl/" \t "http://www.100ec.cn/_blank" </w:instrText>
      </w:r>
      <w:r>
        <w:rPr>
          <w:rFonts w:cstheme="minorBidi"/>
          <w:color w:val="000000" w:themeColor="text1"/>
          <w:kern w:val="2"/>
          <w14:textFill>
            <w14:solidFill>
              <w14:schemeClr w14:val="tx1"/>
            </w14:solidFill>
          </w14:textFill>
        </w:rPr>
        <w:fldChar w:fldCharType="separate"/>
      </w:r>
      <w:r>
        <w:rPr>
          <w:rFonts w:cstheme="minorBidi"/>
          <w:color w:val="000000" w:themeColor="text1"/>
          <w:kern w:val="2"/>
          <w14:textFill>
            <w14:solidFill>
              <w14:schemeClr w14:val="tx1"/>
            </w14:solidFill>
          </w14:textFill>
        </w:rPr>
        <w:t>还款</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w:t>
      </w:r>
    </w:p>
    <w:p>
      <w:pPr>
        <w:pStyle w:val="10"/>
        <w:widowControl/>
        <w:shd w:val="clear" w:color="auto" w:fill="FFFFFF"/>
        <w:spacing w:before="150" w:beforeAutospacing="0" w:after="150" w:afterAutospacing="0" w:line="420" w:lineRule="atLeast"/>
        <w:ind w:firstLine="420"/>
        <w:rPr>
          <w:color w:val="000000" w:themeColor="text1"/>
          <w14:textFill>
            <w14:solidFill>
              <w14:schemeClr w14:val="tx1"/>
            </w14:solidFill>
          </w14:textFill>
        </w:rPr>
      </w:pPr>
      <w:r>
        <w:rPr>
          <w:rFonts w:cstheme="minorBidi"/>
          <w:color w:val="000000" w:themeColor="text1"/>
          <w:kern w:val="2"/>
          <w14:textFill>
            <w14:solidFill>
              <w14:schemeClr w14:val="tx1"/>
            </w14:solidFill>
          </w14:textFill>
        </w:rPr>
        <w:t> 接到该用户投诉后，我们第一时间将投诉案件移交该平台相关工作人员督办妥善处理，但截至发稿前，我们尚未收到来自被投诉平台的任何有关处理回复。</w:t>
      </w:r>
    </w:p>
    <w:p>
      <w:pPr>
        <w:pStyle w:val="3"/>
      </w:pPr>
      <w:bookmarkStart w:id="21" w:name="_Toc9272"/>
      <w:r>
        <w:rPr>
          <w:rFonts w:hint="eastAsia"/>
        </w:rPr>
        <w:t>（四）2024年Q4“常青藤爸爸”获“不予评级”</w:t>
      </w:r>
      <w:bookmarkEnd w:id="21"/>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2024年Q4“常青藤爸爸”涉嫌存在</w:t>
      </w:r>
      <w:r>
        <w:rPr>
          <w:rFonts w:hint="eastAsia"/>
          <w:b/>
          <w:bCs/>
          <w:color w:val="000000" w:themeColor="text1"/>
          <w:sz w:val="24"/>
          <w14:textFill>
            <w14:solidFill>
              <w14:schemeClr w14:val="tx1"/>
            </w14:solidFill>
          </w14:textFill>
        </w:rPr>
        <w:t>网络欺诈、退款问题</w:t>
      </w:r>
      <w:r>
        <w:rPr>
          <w:rFonts w:hint="eastAsia"/>
          <w:color w:val="000000" w:themeColor="text1"/>
          <w:sz w:val="24"/>
          <w14:textFill>
            <w14:solidFill>
              <w14:schemeClr w14:val="tx1"/>
            </w14:solidFill>
          </w14:textFill>
        </w:rPr>
        <w:t>等问题；用户投诉金额主要在100-500元、500-1000元、未选择金额等区间；女性用户投诉占比100%。</w:t>
      </w:r>
    </w:p>
    <w:p>
      <w:pPr>
        <w:spacing w:before="156" w:beforeLines="50" w:line="360" w:lineRule="auto"/>
        <w:jc w:val="center"/>
        <w:rPr>
          <w:rFonts w:ascii="宋体" w:hAnsi="宋体" w:eastAsia="宋体" w:cs="宋体"/>
          <w:b/>
          <w:sz w:val="24"/>
        </w:rPr>
      </w:pPr>
      <w:r>
        <w:drawing>
          <wp:inline distT="0" distB="0" distL="114300" distR="114300">
            <wp:extent cx="5271135" cy="3473450"/>
            <wp:effectExtent l="0" t="0" r="5715" b="1270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6"/>
                    <a:stretch>
                      <a:fillRect/>
                    </a:stretch>
                  </pic:blipFill>
                  <pic:spPr>
                    <a:xfrm>
                      <a:off x="0" y="0"/>
                      <a:ext cx="5271135" cy="3473450"/>
                    </a:xfrm>
                    <a:prstGeom prst="rect">
                      <a:avLst/>
                    </a:prstGeom>
                    <a:noFill/>
                    <a:ln>
                      <a:noFill/>
                    </a:ln>
                  </pic:spPr>
                </pic:pic>
              </a:graphicData>
            </a:graphic>
          </wp:inline>
        </w:drawing>
      </w:r>
    </w:p>
    <w:p>
      <w:pPr>
        <w:spacing w:before="156" w:beforeLines="50" w:line="360" w:lineRule="auto"/>
        <w:ind w:firstLine="482" w:firstLineChars="200"/>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【案例一】“常青藤爸爸”被指</w:t>
      </w:r>
      <w:r>
        <w:rPr>
          <w:b/>
          <w:bCs/>
          <w:color w:val="000000" w:themeColor="text1"/>
          <w:sz w:val="24"/>
          <w14:textFill>
            <w14:solidFill>
              <w14:schemeClr w14:val="tx1"/>
            </w14:solidFill>
          </w14:textFill>
        </w:rPr>
        <w:t>打卡返现未兑现</w:t>
      </w:r>
      <w:r>
        <w:rPr>
          <w:rFonts w:hint="eastAsia"/>
          <w:b/>
          <w:bCs/>
          <w:color w:val="000000" w:themeColor="text1"/>
          <w:sz w:val="24"/>
          <w14:textFill>
            <w14:solidFill>
              <w14:schemeClr w14:val="tx1"/>
            </w14:solidFill>
          </w14:textFill>
        </w:rPr>
        <w:t xml:space="preserve"> 客服敷衍处理</w:t>
      </w:r>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12月24日，</w:t>
      </w:r>
      <w:r>
        <w:rPr>
          <w:color w:val="000000" w:themeColor="text1"/>
          <w:sz w:val="24"/>
          <w14:textFill>
            <w14:solidFill>
              <w14:schemeClr w14:val="tx1"/>
            </w14:solidFill>
          </w14:textFill>
        </w:rPr>
        <w:t>浙江省</w:t>
      </w:r>
      <w:r>
        <w:rPr>
          <w:rFonts w:hint="eastAsia"/>
          <w:color w:val="000000" w:themeColor="text1"/>
          <w:sz w:val="24"/>
          <w14:textFill>
            <w14:solidFill>
              <w14:schemeClr w14:val="tx1"/>
            </w14:solidFill>
          </w14:textFill>
        </w:rPr>
        <w:t>张女士向“电诉宝”投诉称在</w:t>
      </w:r>
      <w:r>
        <w:rPr>
          <w:color w:val="000000" w:themeColor="text1"/>
          <w:sz w:val="24"/>
          <w14:textFill>
            <w14:solidFill>
              <w14:schemeClr w14:val="tx1"/>
            </w14:solidFill>
          </w14:textFill>
        </w:rPr>
        <w:t>2021年在常青藤爸爸app上买了几款打卡返现的课程，分别是日课小古文240句（￥299），英文分级阅读动画课(￥299），以及给孩子的第一门科普系统课￥150。再几款课程按要求打完卡后，分别于2021年11月份，12月份，以及2022年2月份，提交返现，然而一直到现在还没返现。</w:t>
      </w:r>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张女士称，</w:t>
      </w:r>
      <w:r>
        <w:rPr>
          <w:color w:val="000000" w:themeColor="text1"/>
          <w:sz w:val="24"/>
          <w14:textFill>
            <w14:solidFill>
              <w14:schemeClr w14:val="tx1"/>
            </w14:solidFill>
          </w14:textFill>
        </w:rPr>
        <w:t>期间有与常青藤爸爸客服沟通过，但对方只让等待，没有任何处理措施。直到最近</w:t>
      </w:r>
      <w:r>
        <w:rPr>
          <w:rFonts w:hint="eastAsia"/>
          <w:color w:val="000000" w:themeColor="text1"/>
          <w:sz w:val="24"/>
          <w14:textFill>
            <w14:solidFill>
              <w14:schemeClr w14:val="tx1"/>
            </w14:solidFill>
          </w14:textFill>
        </w:rPr>
        <w:t>张女士</w:t>
      </w:r>
      <w:r>
        <w:rPr>
          <w:color w:val="000000" w:themeColor="text1"/>
          <w:sz w:val="24"/>
          <w14:textFill>
            <w14:solidFill>
              <w14:schemeClr w14:val="tx1"/>
            </w14:solidFill>
          </w14:textFill>
        </w:rPr>
        <w:t>又想网上平台买课，才想起来了这个事情还没处理。</w:t>
      </w:r>
      <w:r>
        <w:rPr>
          <w:rFonts w:hint="eastAsia"/>
          <w:color w:val="000000" w:themeColor="text1"/>
          <w:sz w:val="24"/>
          <w14:textFill>
            <w14:solidFill>
              <w14:schemeClr w14:val="tx1"/>
            </w14:solidFill>
          </w14:textFill>
        </w:rPr>
        <w:t>张女士</w:t>
      </w:r>
      <w:r>
        <w:rPr>
          <w:color w:val="000000" w:themeColor="text1"/>
          <w:sz w:val="24"/>
          <w14:textFill>
            <w14:solidFill>
              <w14:schemeClr w14:val="tx1"/>
            </w14:solidFill>
          </w14:textFill>
        </w:rPr>
        <w:t>请求常青藤常青藤爸爸（北京）教育科技有限公司立即返现。</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接到该用户投诉后，我们第一时间将投诉案件移交该平台相关工作人员督办妥善处理，但截至发稿前，我们尚未收到来自被投诉平台的任何有关处理回复。</w:t>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r>
        <w:rPr>
          <w:rFonts w:cstheme="minorBidi"/>
          <w:b/>
          <w:bCs/>
          <w:color w:val="000000" w:themeColor="text1"/>
          <w:kern w:val="2"/>
          <w14:textFill>
            <w14:solidFill>
              <w14:schemeClr w14:val="tx1"/>
            </w14:solidFill>
          </w14:textFill>
        </w:rPr>
        <w:t>【案例二】“常青藤爸爸”被指涉嫌诈骗 返现拖延不予兑现</w:t>
      </w:r>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月</w:t>
      </w:r>
      <w:r>
        <w:rPr>
          <w:rFonts w:hint="eastAsia"/>
          <w:color w:val="000000" w:themeColor="text1"/>
          <w:sz w:val="24"/>
          <w14:textFill>
            <w14:solidFill>
              <w14:schemeClr w14:val="tx1"/>
            </w14:solidFill>
          </w14:textFill>
        </w:rPr>
        <w:t>10</w:t>
      </w:r>
      <w:r>
        <w:rPr>
          <w:color w:val="000000" w:themeColor="text1"/>
          <w:sz w:val="24"/>
          <w14:textFill>
            <w14:solidFill>
              <w14:schemeClr w14:val="tx1"/>
            </w14:solidFill>
          </w14:textFill>
        </w:rPr>
        <w:t>日，</w:t>
      </w:r>
      <w:r>
        <w:rPr>
          <w:rFonts w:hint="eastAsia"/>
          <w:color w:val="000000" w:themeColor="text1"/>
          <w:sz w:val="24"/>
          <w14:textFill>
            <w14:solidFill>
              <w14:schemeClr w14:val="tx1"/>
            </w14:solidFill>
          </w14:textFill>
        </w:rPr>
        <w:t>广东省张</w:t>
      </w:r>
      <w:r>
        <w:rPr>
          <w:color w:val="000000" w:themeColor="text1"/>
          <w:sz w:val="24"/>
          <w14:textFill>
            <w14:solidFill>
              <w14:schemeClr w14:val="tx1"/>
            </w14:solidFill>
          </w14:textFill>
        </w:rPr>
        <w:t>女士向“电诉宝”投诉称其于2021.12.18日，按照常青藤爸爸app市场活动要求，完成打卡后申请退款，但至今三年依然被告知需要排队等待。以目前一个月退100人费用的速度，</w:t>
      </w:r>
      <w:r>
        <w:rPr>
          <w:rFonts w:hint="eastAsia"/>
          <w:color w:val="000000" w:themeColor="text1"/>
          <w:sz w:val="24"/>
          <w14:textFill>
            <w14:solidFill>
              <w14:schemeClr w14:val="tx1"/>
            </w14:solidFill>
          </w14:textFill>
        </w:rPr>
        <w:t>张</w:t>
      </w:r>
      <w:r>
        <w:rPr>
          <w:color w:val="000000" w:themeColor="text1"/>
          <w:sz w:val="24"/>
          <w14:textFill>
            <w14:solidFill>
              <w14:schemeClr w14:val="tx1"/>
            </w14:solidFill>
          </w14:textFill>
        </w:rPr>
        <w:t>女士目前排名11462名。岂不是要被迫等近十年后才能拿到退款?多次联系客服，均已只能排队为理由，拒绝安排退款。这种强制消费者成为"股东"的行为，已经涉嫌诈骗，请平台予以协助，要求商家马上退款</w:t>
      </w:r>
      <w:r>
        <w:rPr>
          <w:rFonts w:hint="eastAsia"/>
          <w:color w:val="000000" w:themeColor="text1"/>
          <w:sz w:val="24"/>
          <w14:textFill>
            <w14:solidFill>
              <w14:schemeClr w14:val="tx1"/>
            </w14:solidFill>
          </w14:textFill>
        </w:rPr>
        <w:t>。</w:t>
      </w:r>
    </w:p>
    <w:p>
      <w:pPr>
        <w:spacing w:before="156" w:beforeLines="50"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接到该用户投诉后，我们第一时间将投诉案件移交该平台相关工作人员督办妥善处理，但截至发稿前，我们尚未收到来自被投诉平台的任何有关处理回复。</w:t>
      </w:r>
    </w:p>
    <w:p>
      <w:pPr>
        <w:pStyle w:val="3"/>
      </w:pPr>
      <w:bookmarkStart w:id="22" w:name="_Toc12649"/>
      <w:r>
        <w:rPr>
          <w:rFonts w:hint="eastAsia"/>
        </w:rPr>
        <w:t>（五）2024年Q4“潭州教育”获“不予评级”</w:t>
      </w:r>
      <w:bookmarkEnd w:id="22"/>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2024年Q4“潭州教育”涉嫌存在</w:t>
      </w:r>
      <w:r>
        <w:rPr>
          <w:rFonts w:hint="eastAsia"/>
          <w:b/>
          <w:bCs/>
          <w:color w:val="000000" w:themeColor="text1"/>
          <w:sz w:val="24"/>
          <w14:textFill>
            <w14:solidFill>
              <w14:schemeClr w14:val="tx1"/>
            </w14:solidFill>
          </w14:textFill>
        </w:rPr>
        <w:t>网络欺诈</w:t>
      </w:r>
      <w:r>
        <w:rPr>
          <w:rFonts w:hint="eastAsia"/>
          <w:color w:val="000000" w:themeColor="text1"/>
          <w:sz w:val="24"/>
          <w14:textFill>
            <w14:solidFill>
              <w14:schemeClr w14:val="tx1"/>
            </w14:solidFill>
          </w14:textFill>
        </w:rPr>
        <w:t>、</w:t>
      </w:r>
      <w:r>
        <w:rPr>
          <w:rFonts w:hint="eastAsia"/>
          <w:b/>
          <w:bCs/>
          <w:color w:val="000000" w:themeColor="text1"/>
          <w:sz w:val="24"/>
          <w14:textFill>
            <w14:solidFill>
              <w14:schemeClr w14:val="tx1"/>
            </w14:solidFill>
          </w14:textFill>
        </w:rPr>
        <w:t>虚假促销、退款问题</w:t>
      </w:r>
      <w:r>
        <w:rPr>
          <w:rFonts w:hint="eastAsia"/>
          <w:color w:val="000000" w:themeColor="text1"/>
          <w:sz w:val="24"/>
          <w14:textFill>
            <w14:solidFill>
              <w14:schemeClr w14:val="tx1"/>
            </w14:solidFill>
          </w14:textFill>
        </w:rPr>
        <w:t>等问题；用户投诉金额主要在5000-10000元、100-500元、10000元以上、未选择金额等区间；其中，男性用户投诉占比22.22%，女性用户投诉占比77.78%。</w:t>
      </w:r>
    </w:p>
    <w:p>
      <w:pPr>
        <w:spacing w:before="156" w:beforeLines="50" w:line="360" w:lineRule="auto"/>
        <w:jc w:val="center"/>
        <w:rPr>
          <w:rFonts w:ascii="宋体" w:hAnsi="宋体" w:eastAsia="宋体" w:cs="宋体"/>
          <w:b/>
          <w:sz w:val="24"/>
        </w:rPr>
      </w:pPr>
      <w:r>
        <w:drawing>
          <wp:inline distT="0" distB="0" distL="114300" distR="114300">
            <wp:extent cx="5273040" cy="3482975"/>
            <wp:effectExtent l="0" t="0" r="3810" b="317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7"/>
                    <a:stretch>
                      <a:fillRect/>
                    </a:stretch>
                  </pic:blipFill>
                  <pic:spPr>
                    <a:xfrm>
                      <a:off x="0" y="0"/>
                      <a:ext cx="5273040" cy="3482975"/>
                    </a:xfrm>
                    <a:prstGeom prst="rect">
                      <a:avLst/>
                    </a:prstGeom>
                    <a:noFill/>
                    <a:ln>
                      <a:noFill/>
                    </a:ln>
                  </pic:spPr>
                </pic:pic>
              </a:graphicData>
            </a:graphic>
          </wp:inline>
        </w:drawing>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r>
        <w:rPr>
          <w:rFonts w:cstheme="minorBidi"/>
          <w:b/>
          <w:bCs/>
          <w:color w:val="000000" w:themeColor="text1"/>
          <w:kern w:val="2"/>
          <w14:textFill>
            <w14:solidFill>
              <w14:schemeClr w14:val="tx1"/>
            </w14:solidFill>
          </w14:textFill>
        </w:rPr>
        <w:t>【案例一】用户投诉“潭州教育”</w:t>
      </w:r>
      <w:r>
        <w:fldChar w:fldCharType="begin"/>
      </w:r>
      <w:r>
        <w:instrText xml:space="preserve"> HYPERLINK "http://www.100ec.cn/edunav/" \t "http://www.100ec.cn/_blank" </w:instrText>
      </w:r>
      <w:r>
        <w:fldChar w:fldCharType="separate"/>
      </w:r>
      <w:r>
        <w:fldChar w:fldCharType="end"/>
      </w:r>
      <w:r>
        <w:fldChar w:fldCharType="begin"/>
      </w:r>
      <w:r>
        <w:instrText xml:space="preserve"> HYPERLINK "http://www.100ec.cn/edunav/" \t "http://www.100ec.cn/_blank" </w:instrText>
      </w:r>
      <w:r>
        <w:fldChar w:fldCharType="separate"/>
      </w:r>
      <w:r>
        <w:rPr>
          <w:rFonts w:cstheme="minorBidi"/>
          <w:b/>
          <w:bCs/>
          <w:color w:val="000000" w:themeColor="text1"/>
          <w:kern w:val="2"/>
          <w14:textFill>
            <w14:solidFill>
              <w14:schemeClr w14:val="tx1"/>
            </w14:solidFill>
          </w14:textFill>
        </w:rPr>
        <w:t>网课</w:t>
      </w:r>
      <w:r>
        <w:rPr>
          <w:rFonts w:cstheme="minorBidi"/>
          <w:b/>
          <w:bCs/>
          <w:color w:val="000000" w:themeColor="text1"/>
          <w:kern w:val="2"/>
          <w14:textFill>
            <w14:solidFill>
              <w14:schemeClr w14:val="tx1"/>
            </w14:solidFill>
          </w14:textFill>
        </w:rPr>
        <w:fldChar w:fldCharType="end"/>
      </w:r>
      <w:r>
        <w:rPr>
          <w:rFonts w:cstheme="minorBidi"/>
          <w:b/>
          <w:bCs/>
          <w:color w:val="000000" w:themeColor="text1"/>
          <w:kern w:val="2"/>
          <w14:textFill>
            <w14:solidFill>
              <w14:schemeClr w14:val="tx1"/>
            </w14:solidFill>
          </w14:textFill>
        </w:rPr>
        <w:t>下架 </w:t>
      </w:r>
      <w:r>
        <w:fldChar w:fldCharType="begin"/>
      </w:r>
      <w:r>
        <w:instrText xml:space="preserve"> HYPERLINK "http://www.100ec.cn/edunav/" \t "http://www.100ec.cn/_blank" </w:instrText>
      </w:r>
      <w:r>
        <w:fldChar w:fldCharType="separate"/>
      </w:r>
      <w:r>
        <w:rPr>
          <w:rFonts w:cstheme="minorBidi"/>
          <w:b/>
          <w:bCs/>
          <w:color w:val="000000" w:themeColor="text1"/>
          <w:kern w:val="2"/>
          <w14:textFill>
            <w14:solidFill>
              <w14:schemeClr w14:val="tx1"/>
            </w14:solidFill>
          </w14:textFill>
        </w:rPr>
        <w:t>课程</w:t>
      </w:r>
      <w:r>
        <w:rPr>
          <w:rFonts w:cstheme="minorBidi"/>
          <w:b/>
          <w:bCs/>
          <w:color w:val="000000" w:themeColor="text1"/>
          <w:kern w:val="2"/>
          <w14:textFill>
            <w14:solidFill>
              <w14:schemeClr w14:val="tx1"/>
            </w14:solidFill>
          </w14:textFill>
        </w:rPr>
        <w:fldChar w:fldCharType="end"/>
      </w:r>
      <w:r>
        <w:rPr>
          <w:rFonts w:cstheme="minorBidi"/>
          <w:b/>
          <w:bCs/>
          <w:color w:val="000000" w:themeColor="text1"/>
          <w:kern w:val="2"/>
          <w14:textFill>
            <w14:solidFill>
              <w14:schemeClr w14:val="tx1"/>
            </w14:solidFill>
          </w14:textFill>
        </w:rPr>
        <w:t>无法观看</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12月21日，陕西省的段女士向“电诉宝”投诉称其于2020年11月30日购买潭州教育的配音课程，只听了一期，后来没听。段女士表示要到安排的时候已经倒闭了。这个课程有1,2,3期，其中段女士只上了1期，后来就一直不退费。段女士原先对接的老师叫大艺老师，开始的时候这个app叫潭州教育，后来只上了一期，再后来他们这个app就变成vip伴学了，再后来这个app就下架了，再后来这个app就登录不了了。</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段女士称只上了一期课程，就是最基础的课程，他们对接的老师总换，到后来变成什么晶家配音，内部资源协调非常乱。段女士要求退费，至少退费4200元。</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接到用户投诉后，我们第一时间将投诉案件移交该平台相关工作人员督办妥善处理，但截至发稿前，我们尚未收到来自被投诉平台的任何有关处理回复。</w:t>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r>
        <w:rPr>
          <w:rFonts w:cstheme="minorBidi"/>
          <w:b/>
          <w:bCs/>
          <w:color w:val="000000" w:themeColor="text1"/>
          <w:kern w:val="2"/>
          <w14:textFill>
            <w14:solidFill>
              <w14:schemeClr w14:val="tx1"/>
            </w14:solidFill>
          </w14:textFill>
        </w:rPr>
        <w:t>【</w:t>
      </w:r>
      <w:r>
        <w:fldChar w:fldCharType="begin"/>
      </w:r>
      <w:r>
        <w:instrText xml:space="preserve"> HYPERLINK "http://www.100ec.cn/zt/anlk/" \t "https://www.100ec.cn/_blank" </w:instrText>
      </w:r>
      <w:r>
        <w:fldChar w:fldCharType="separate"/>
      </w:r>
      <w:r>
        <w:rPr>
          <w:rFonts w:cstheme="minorBidi"/>
          <w:b/>
          <w:bCs/>
          <w:color w:val="000000" w:themeColor="text1"/>
          <w:kern w:val="2"/>
          <w14:textFill>
            <w14:solidFill>
              <w14:schemeClr w14:val="tx1"/>
            </w14:solidFill>
          </w14:textFill>
        </w:rPr>
        <w:t>案例</w:t>
      </w:r>
      <w:r>
        <w:rPr>
          <w:rFonts w:cstheme="minorBidi"/>
          <w:b/>
          <w:bCs/>
          <w:color w:val="000000" w:themeColor="text1"/>
          <w:kern w:val="2"/>
          <w14:textFill>
            <w14:solidFill>
              <w14:schemeClr w14:val="tx1"/>
            </w14:solidFill>
          </w14:textFill>
        </w:rPr>
        <w:fldChar w:fldCharType="end"/>
      </w:r>
      <w:r>
        <w:rPr>
          <w:rFonts w:hint="eastAsia" w:cstheme="minorBidi"/>
          <w:b/>
          <w:bCs/>
          <w:color w:val="000000" w:themeColor="text1"/>
          <w:kern w:val="2"/>
          <w14:textFill>
            <w14:solidFill>
              <w14:schemeClr w14:val="tx1"/>
            </w14:solidFill>
          </w14:textFill>
        </w:rPr>
        <w:t>二</w:t>
      </w:r>
      <w:r>
        <w:rPr>
          <w:rFonts w:cstheme="minorBidi"/>
          <w:b/>
          <w:bCs/>
          <w:color w:val="000000" w:themeColor="text1"/>
          <w:kern w:val="2"/>
          <w14:textFill>
            <w14:solidFill>
              <w14:schemeClr w14:val="tx1"/>
            </w14:solidFill>
          </w14:textFill>
        </w:rPr>
        <w:t>】“潭州教育”被指课程费不退 承诺退款却置之不理</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8日，江西省洪先生向“电诉宝”投诉称其于2020年12月25日，受到潭州教育网络宣传，在潭州教育工作人员微信沟通中，在潭州教育网络科技有限公司购买了普通话和声音美化基础课名额，对方承诺未上课可以退还名额费用，后因时间关系，个人未上课，并无潭州教育平台账号。</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bookmarkStart w:id="23" w:name="_Toc31447"/>
      <w:r>
        <w:rPr>
          <w:rFonts w:cstheme="minorBidi"/>
          <w:color w:val="000000" w:themeColor="text1"/>
          <w:kern w:val="2"/>
          <w14:textFill>
            <w14:solidFill>
              <w14:schemeClr w14:val="tx1"/>
            </w14:solidFill>
          </w14:textFill>
        </w:rPr>
        <w:t>洪先生表示未上课之后本人联系潭州教育工作人员询问能否退还名额费用，但对方置之不理，导致他的费用一直未退，同时对方企业微信联系人频繁更换，导致寻找不到之前的聊天记录。洪先生认为这侵犯了他的公平交易权和知情权，他的诉求是对方依据承诺退还其未上课却预先缴的费人民币200元。</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接到用户投诉后，我们第一时间将投诉案件移交该平台相关工作人员督办妥善处理，但截至发稿前，我们尚未收到来自被投诉平台的任何有关处理回复。</w:t>
      </w:r>
    </w:p>
    <w:p>
      <w:pPr>
        <w:pStyle w:val="3"/>
      </w:pPr>
      <w:r>
        <w:rPr>
          <w:rFonts w:hint="eastAsia"/>
        </w:rPr>
        <w:t>（六）2024年Q4“一只船教育”获“不建议下单”</w:t>
      </w:r>
      <w:bookmarkEnd w:id="23"/>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2024年Q4“一只船教育”涉嫌存在</w:t>
      </w:r>
      <w:r>
        <w:rPr>
          <w:rFonts w:hint="eastAsia"/>
          <w:b/>
          <w:bCs/>
          <w:color w:val="000000" w:themeColor="text1"/>
          <w:sz w:val="24"/>
          <w14:textFill>
            <w14:solidFill>
              <w14:schemeClr w14:val="tx1"/>
            </w14:solidFill>
          </w14:textFill>
        </w:rPr>
        <w:t>退款问题、虚假促销、售后服务、网络欺诈、霸王条款</w:t>
      </w:r>
      <w:r>
        <w:rPr>
          <w:rFonts w:hint="eastAsia"/>
          <w:color w:val="000000" w:themeColor="text1"/>
          <w:sz w:val="24"/>
          <w14:textFill>
            <w14:solidFill>
              <w14:schemeClr w14:val="tx1"/>
            </w14:solidFill>
          </w14:textFill>
        </w:rPr>
        <w:t>等问题；用户投诉金额主要在10000元以上、5000-10000元等区间；其中，男性用户投诉占比69.23%，女性用户投诉占比30.77%。</w:t>
      </w:r>
    </w:p>
    <w:p>
      <w:pPr>
        <w:spacing w:before="156" w:beforeLines="50" w:line="360" w:lineRule="auto"/>
        <w:jc w:val="center"/>
        <w:rPr>
          <w:rFonts w:ascii="宋体" w:hAnsi="宋体" w:eastAsia="宋体" w:cs="宋体"/>
          <w:b/>
          <w:sz w:val="24"/>
        </w:rPr>
      </w:pPr>
      <w:r>
        <w:drawing>
          <wp:inline distT="0" distB="0" distL="114300" distR="114300">
            <wp:extent cx="5271135" cy="3526155"/>
            <wp:effectExtent l="0" t="0" r="5715" b="1714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8"/>
                    <a:stretch>
                      <a:fillRect/>
                    </a:stretch>
                  </pic:blipFill>
                  <pic:spPr>
                    <a:xfrm>
                      <a:off x="0" y="0"/>
                      <a:ext cx="5271135" cy="3526155"/>
                    </a:xfrm>
                    <a:prstGeom prst="rect">
                      <a:avLst/>
                    </a:prstGeom>
                    <a:noFill/>
                    <a:ln>
                      <a:noFill/>
                    </a:ln>
                  </pic:spPr>
                </pic:pic>
              </a:graphicData>
            </a:graphic>
          </wp:inline>
        </w:drawing>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r>
        <w:rPr>
          <w:rFonts w:cstheme="minorBidi"/>
          <w:b/>
          <w:bCs/>
          <w:color w:val="000000" w:themeColor="text1"/>
          <w:kern w:val="2"/>
          <w14:textFill>
            <w14:solidFill>
              <w14:schemeClr w14:val="tx1"/>
            </w14:solidFill>
          </w14:textFill>
        </w:rPr>
        <w:t>【案例一】用户投诉“一只船教育”称诱骗报名 现要求退1.5万培训费</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11月26日，</w:t>
      </w:r>
      <w:r>
        <w:fldChar w:fldCharType="begin"/>
      </w:r>
      <w:r>
        <w:instrText xml:space="preserve"> HYPERLINK "http://www.100ec.cn/zt/df/" \t "http://www.100ec.cn/_blank" </w:instrText>
      </w:r>
      <w:r>
        <w:fldChar w:fldCharType="separate"/>
      </w:r>
      <w:r>
        <w:fldChar w:fldCharType="end"/>
      </w:r>
      <w:r>
        <w:fldChar w:fldCharType="begin"/>
      </w:r>
      <w:r>
        <w:instrText xml:space="preserve"> HYPERLINK "http://www.100ec.cn/zt/df/" \t "http://www.100ec.cn/_blank" </w:instrText>
      </w:r>
      <w:r>
        <w:fldChar w:fldCharType="separate"/>
      </w:r>
      <w:r>
        <w:rPr>
          <w:rFonts w:cstheme="minorBidi"/>
          <w:color w:val="000000" w:themeColor="text1"/>
          <w:kern w:val="2"/>
          <w14:textFill>
            <w14:solidFill>
              <w14:schemeClr w14:val="tx1"/>
            </w14:solidFill>
          </w14:textFill>
        </w:rPr>
        <w:t>重庆</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市的冯先生向“电诉宝”投诉称其于2021年2月-3月期间被北京一只船教育咨询有限公司</w:t>
      </w:r>
      <w:r>
        <w:fldChar w:fldCharType="begin"/>
      </w:r>
      <w:r>
        <w:instrText xml:space="preserve"> HYPERLINK "http://www.100ec.cn/Index/complaintData.html" \t "http://www.100ec.cn/_blank" </w:instrText>
      </w:r>
      <w:r>
        <w:fldChar w:fldCharType="separate"/>
      </w:r>
      <w:r>
        <w:rPr>
          <w:rFonts w:cstheme="minorBidi"/>
          <w:color w:val="000000" w:themeColor="text1"/>
          <w:kern w:val="2"/>
          <w14:textFill>
            <w14:solidFill>
              <w14:schemeClr w14:val="tx1"/>
            </w14:solidFill>
          </w14:textFill>
        </w:rPr>
        <w:t>客服</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人员微信联系诱骗报名一级消防工程师高端班培训，并诱骗签署了法大大网络app。 </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冯先生通过上网查询了解到一只船教育。 2.微信添加客服诱骗报名参加消防工程师培训，欺骗报名高端</w:t>
      </w:r>
      <w:r>
        <w:fldChar w:fldCharType="begin"/>
      </w:r>
      <w:r>
        <w:instrText xml:space="preserve"> HYPERLINK "http://www.100ec.cn/zt/meeting/" \t "http://www.100ec.cn/_blank" </w:instrText>
      </w:r>
      <w:r>
        <w:fldChar w:fldCharType="separate"/>
      </w:r>
      <w:r>
        <w:rPr>
          <w:rFonts w:cstheme="minorBidi"/>
          <w:color w:val="000000" w:themeColor="text1"/>
          <w:kern w:val="2"/>
          <w14:textFill>
            <w14:solidFill>
              <w14:schemeClr w14:val="tx1"/>
            </w14:solidFill>
          </w14:textFill>
        </w:rPr>
        <w:t>培训班</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包通过考试。 3.接受培训后参加考试仍然通不过考试，要求退费时发现被骗。2021年10月至2024年11月期间多次申请要求退还培训费用，冯先生诉求:要求退培训费15000元。</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接到该用户投诉后，我们第一时间将投诉案件移交该平台相关工作人员督办妥善处理。但截至发稿前，尚未收到一只船教育工作人员回复。</w:t>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bookmarkStart w:id="24" w:name="_Toc3265"/>
      <w:r>
        <w:rPr>
          <w:rFonts w:cstheme="minorBidi"/>
          <w:b/>
          <w:bCs/>
          <w:color w:val="000000" w:themeColor="text1"/>
          <w:kern w:val="2"/>
          <w14:textFill>
            <w14:solidFill>
              <w14:schemeClr w14:val="tx1"/>
            </w14:solidFill>
          </w14:textFill>
        </w:rPr>
        <w:t>【案例三】“一只船教育”被指虚假宣传 承诺成空谈</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11月14日，</w:t>
      </w:r>
      <w:r>
        <w:fldChar w:fldCharType="begin"/>
      </w:r>
      <w:r>
        <w:instrText xml:space="preserve"> HYPERLINK "http://www.100ec.cn/zt/df/" \t "http://www.100ec.cn/_blank" </w:instrText>
      </w:r>
      <w:r>
        <w:fldChar w:fldCharType="separate"/>
      </w:r>
      <w:r>
        <w:fldChar w:fldCharType="end"/>
      </w:r>
      <w:r>
        <w:rPr>
          <w:rFonts w:cstheme="minorBidi"/>
          <w:color w:val="000000" w:themeColor="text1"/>
          <w:kern w:val="2"/>
          <w14:textFill>
            <w14:solidFill>
              <w14:schemeClr w14:val="tx1"/>
            </w14:solidFill>
          </w14:textFill>
        </w:rPr>
        <w:t>河南省的柴先生向“电诉宝”投诉称其于2021年6月至7月前后交了一级注册类消防工程师</w:t>
      </w:r>
      <w:r>
        <w:fldChar w:fldCharType="begin"/>
      </w:r>
      <w:r>
        <w:instrText xml:space="preserve"> HYPERLINK "http://www.100ec.cn/edunav/" \t "http://www.100ec.cn/_blank" </w:instrText>
      </w:r>
      <w:r>
        <w:fldChar w:fldCharType="separate"/>
      </w:r>
      <w:r>
        <w:rPr>
          <w:rFonts w:cstheme="minorBidi"/>
          <w:color w:val="000000" w:themeColor="text1"/>
          <w:kern w:val="2"/>
          <w14:textFill>
            <w14:solidFill>
              <w14:schemeClr w14:val="tx1"/>
            </w14:solidFill>
          </w14:textFill>
        </w:rPr>
        <w:t>课程</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培训费用20480元，当时诱导说是考过之后兼职费用一年能达到10几万，当时报的班说是普通班，后来让升级成无忧班，最后说三师私塾班能百分之百能考过，然后21年未考过，22年因为疫情影响没报考，23年没考过，24年因看到一只船的各种骗局感觉没必要报考了。</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柴先生表示一只船教育曾承诺没考过可以退费，现在跟老师申请退费，就让柴先生找这个找那个，让柴先生提供这流程那流程的，最后让柴先生打客服电话，客服电话打通后说线路及系统升级原因找不到人工，现在就是说能不能把学费给退了，哪怕是说他们扣掉一部分的服务费，退柴先生一部分。</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接到该用户投诉后，我们第一时间将投诉案件移交该平台相关工作人员督办妥善处理。但截至发稿前，尚未收到一只船教育工作人员回复。</w:t>
      </w:r>
    </w:p>
    <w:p>
      <w:pPr>
        <w:pStyle w:val="3"/>
      </w:pPr>
      <w:r>
        <w:rPr>
          <w:rFonts w:hint="eastAsia"/>
        </w:rPr>
        <w:t>（七）2024年Q4“中安建培”获“不建议下单”</w:t>
      </w:r>
      <w:bookmarkEnd w:id="24"/>
    </w:p>
    <w:p>
      <w:pPr>
        <w:spacing w:before="156"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2024年Q4“中安建培”涉嫌存在</w:t>
      </w:r>
      <w:r>
        <w:rPr>
          <w:rFonts w:hint="eastAsia"/>
          <w:b/>
          <w:bCs/>
          <w:color w:val="000000" w:themeColor="text1"/>
          <w:sz w:val="24"/>
          <w14:textFill>
            <w14:solidFill>
              <w14:schemeClr w14:val="tx1"/>
            </w14:solidFill>
          </w14:textFill>
        </w:rPr>
        <w:t>退款问题、网络欺诈、售后服务、霸王条款</w:t>
      </w:r>
      <w:r>
        <w:rPr>
          <w:rFonts w:hint="eastAsia"/>
          <w:color w:val="000000" w:themeColor="text1"/>
          <w:sz w:val="24"/>
          <w14:textFill>
            <w14:solidFill>
              <w14:schemeClr w14:val="tx1"/>
            </w14:solidFill>
          </w14:textFill>
        </w:rPr>
        <w:t>等问题；用户投诉金额主要在10000元以上、5000-10000元、未选择金额等区间；其中，男性用户投诉占比66.67%，女性用户投诉占比33.33%。</w:t>
      </w:r>
    </w:p>
    <w:p>
      <w:pPr>
        <w:spacing w:before="156" w:beforeLines="50" w:line="360" w:lineRule="auto"/>
        <w:jc w:val="center"/>
        <w:rPr>
          <w:rFonts w:ascii="宋体" w:hAnsi="宋体" w:eastAsia="宋体" w:cs="宋体"/>
          <w:b/>
          <w:sz w:val="24"/>
        </w:rPr>
      </w:pPr>
      <w:r>
        <w:drawing>
          <wp:inline distT="0" distB="0" distL="114300" distR="114300">
            <wp:extent cx="5269230" cy="3506470"/>
            <wp:effectExtent l="0" t="0" r="7620" b="1778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9"/>
                    <a:stretch>
                      <a:fillRect/>
                    </a:stretch>
                  </pic:blipFill>
                  <pic:spPr>
                    <a:xfrm>
                      <a:off x="0" y="0"/>
                      <a:ext cx="5269230" cy="3506470"/>
                    </a:xfrm>
                    <a:prstGeom prst="rect">
                      <a:avLst/>
                    </a:prstGeom>
                    <a:noFill/>
                    <a:ln>
                      <a:noFill/>
                    </a:ln>
                  </pic:spPr>
                </pic:pic>
              </a:graphicData>
            </a:graphic>
          </wp:inline>
        </w:drawing>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r>
        <w:rPr>
          <w:rFonts w:cstheme="minorBidi"/>
          <w:b/>
          <w:bCs/>
          <w:color w:val="000000" w:themeColor="text1"/>
          <w:kern w:val="2"/>
          <w14:textFill>
            <w14:solidFill>
              <w14:schemeClr w14:val="tx1"/>
            </w14:solidFill>
          </w14:textFill>
        </w:rPr>
        <w:t>【案例一】“中安建培”被指培训虚假宣传 退费无果</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11月13日，</w:t>
      </w:r>
      <w:r>
        <w:fldChar w:fldCharType="begin"/>
      </w:r>
      <w:r>
        <w:instrText xml:space="preserve"> HYPERLINK "http://www.100ec.cn/zt/df/" \t "http://www.100ec.cn/_blank" </w:instrText>
      </w:r>
      <w:r>
        <w:fldChar w:fldCharType="separate"/>
      </w:r>
      <w:r>
        <w:fldChar w:fldCharType="end"/>
      </w:r>
      <w:r>
        <w:fldChar w:fldCharType="begin"/>
      </w:r>
      <w:r>
        <w:instrText xml:space="preserve"> HYPERLINK "http://www.100ec.cn/zt/df/" \t "http://www.100ec.cn/_blank" </w:instrText>
      </w:r>
      <w:r>
        <w:fldChar w:fldCharType="separate"/>
      </w:r>
      <w:r>
        <w:fldChar w:fldCharType="end"/>
      </w:r>
      <w:r>
        <w:fldChar w:fldCharType="begin"/>
      </w:r>
      <w:r>
        <w:instrText xml:space="preserve"> HYPERLINK "http://www.100ec.cn/zt/df/" \t "http://www.100ec.cn/_blank" </w:instrText>
      </w:r>
      <w:r>
        <w:fldChar w:fldCharType="separate"/>
      </w:r>
      <w:r>
        <w:rPr>
          <w:rFonts w:cstheme="minorBidi"/>
          <w:color w:val="000000" w:themeColor="text1"/>
          <w:kern w:val="2"/>
          <w14:textFill>
            <w14:solidFill>
              <w14:schemeClr w14:val="tx1"/>
            </w14:solidFill>
          </w14:textFill>
        </w:rPr>
        <w:t>江苏</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省胡先生向“电诉宝”投诉称其于2022年8月3日报名中安建培一级造价师培训缴费5880+500，说是考过了有公司直接挂考，3年20万，2022年8月30日</w:t>
      </w:r>
      <w:r>
        <w:fldChar w:fldCharType="begin"/>
      </w:r>
      <w:r>
        <w:instrText xml:space="preserve"> HYPERLINK "http://www.100ec.cn/zt/gxbook/" \t "http://www.100ec.cn/_blank" </w:instrText>
      </w:r>
      <w:r>
        <w:fldChar w:fldCharType="separate"/>
      </w:r>
      <w:r>
        <w:rPr>
          <w:rFonts w:cstheme="minorBidi"/>
          <w:color w:val="000000" w:themeColor="text1"/>
          <w:kern w:val="2"/>
          <w14:textFill>
            <w14:solidFill>
              <w14:schemeClr w14:val="tx1"/>
            </w14:solidFill>
          </w14:textFill>
        </w:rPr>
        <w:t>来电</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询问是否有把握，没有把握可以参加十一密训，有考试70%的答案，并且不过可以退费，价格13600，就此上当。</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胡先生称当年考试结束就提出要退费，一直没有人受理，2023年12月给胡先生打了个电话后 就退费事情不了了之，今年又有一个人来电，说退费只能走2次考试不过的规则，胡先生不认可，对方说那你就去投诉。</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接到该用户投诉后，我们第一时间将投诉案件移交该平台相关工作人员督办妥善处理。但截至发稿前，尚未收到中安建培的工作人员回复。</w:t>
      </w:r>
    </w:p>
    <w:p>
      <w:pPr>
        <w:pStyle w:val="10"/>
        <w:widowControl/>
        <w:shd w:val="clear" w:color="auto" w:fill="FFFFFF"/>
        <w:spacing w:before="150" w:beforeAutospacing="0" w:after="150" w:afterAutospacing="0" w:line="420" w:lineRule="atLeast"/>
        <w:ind w:firstLine="420"/>
        <w:rPr>
          <w:rFonts w:cstheme="minorBidi"/>
          <w:b/>
          <w:bCs/>
          <w:color w:val="000000" w:themeColor="text1"/>
          <w:kern w:val="2"/>
          <w14:textFill>
            <w14:solidFill>
              <w14:schemeClr w14:val="tx1"/>
            </w14:solidFill>
          </w14:textFill>
        </w:rPr>
      </w:pPr>
      <w:r>
        <w:rPr>
          <w:rFonts w:cstheme="minorBidi"/>
          <w:b/>
          <w:bCs/>
          <w:color w:val="000000" w:themeColor="text1"/>
          <w:kern w:val="2"/>
          <w14:textFill>
            <w14:solidFill>
              <w14:schemeClr w14:val="tx1"/>
            </w14:solidFill>
          </w14:textFill>
        </w:rPr>
        <w:t>【案例二】用户投诉“中安建培”称退款</w:t>
      </w:r>
      <w:r>
        <w:fldChar w:fldCharType="begin"/>
      </w:r>
      <w:r>
        <w:instrText xml:space="preserve"> HYPERLINK "http://show.s.315.100ec.cn/" \t "http://www.100ec.cn/_blank" </w:instrText>
      </w:r>
      <w:r>
        <w:fldChar w:fldCharType="separate"/>
      </w:r>
      <w:r>
        <w:rPr>
          <w:rFonts w:cstheme="minorBidi"/>
          <w:b/>
          <w:bCs/>
          <w:color w:val="000000" w:themeColor="text1"/>
          <w:kern w:val="2"/>
          <w14:textFill>
            <w14:solidFill>
              <w14:schemeClr w14:val="tx1"/>
            </w14:solidFill>
          </w14:textFill>
        </w:rPr>
        <w:t>陷阱</w:t>
      </w:r>
      <w:r>
        <w:rPr>
          <w:rFonts w:cstheme="minorBidi"/>
          <w:b/>
          <w:bCs/>
          <w:color w:val="000000" w:themeColor="text1"/>
          <w:kern w:val="2"/>
          <w14:textFill>
            <w14:solidFill>
              <w14:schemeClr w14:val="tx1"/>
            </w14:solidFill>
          </w14:textFill>
        </w:rPr>
        <w:fldChar w:fldCharType="end"/>
      </w:r>
      <w:r>
        <w:rPr>
          <w:rFonts w:cstheme="minorBidi"/>
          <w:b/>
          <w:bCs/>
          <w:color w:val="000000" w:themeColor="text1"/>
          <w:kern w:val="2"/>
          <w14:textFill>
            <w14:solidFill>
              <w14:schemeClr w14:val="tx1"/>
            </w14:solidFill>
          </w14:textFill>
        </w:rPr>
        <w:t>多 退款之路漫漫</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10月30日，</w:t>
      </w:r>
      <w:r>
        <w:fldChar w:fldCharType="begin"/>
      </w:r>
      <w:r>
        <w:instrText xml:space="preserve"> HYPERLINK "http://www.100ec.cn/zt/df/" \t "http://www.100ec.cn/_blank" </w:instrText>
      </w:r>
      <w:r>
        <w:fldChar w:fldCharType="separate"/>
      </w:r>
      <w:r>
        <w:fldChar w:fldCharType="end"/>
      </w:r>
      <w:r>
        <w:fldChar w:fldCharType="begin"/>
      </w:r>
      <w:r>
        <w:instrText xml:space="preserve"> HYPERLINK "http://www.100ec.cn/zt/df/" \t "http://www.100ec.cn/_blank" </w:instrText>
      </w:r>
      <w:r>
        <w:fldChar w:fldCharType="separate"/>
      </w:r>
      <w:r>
        <w:rPr>
          <w:rFonts w:cstheme="minorBidi"/>
          <w:color w:val="000000" w:themeColor="text1"/>
          <w:kern w:val="2"/>
          <w14:textFill>
            <w14:solidFill>
              <w14:schemeClr w14:val="tx1"/>
            </w14:solidFill>
          </w14:textFill>
        </w:rPr>
        <w:t>山东</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省王先生向“电诉宝”投诉称2024年9月5日被</w:t>
      </w:r>
      <w:r>
        <w:fldChar w:fldCharType="begin"/>
      </w:r>
      <w:r>
        <w:instrText xml:space="preserve"> HYPERLINK "http://www.100ec.cn/zt/df/" \t "http://www.100ec.cn/_blank" </w:instrText>
      </w:r>
      <w:r>
        <w:fldChar w:fldCharType="separate"/>
      </w:r>
      <w:r>
        <w:rPr>
          <w:rFonts w:cstheme="minorBidi"/>
          <w:color w:val="000000" w:themeColor="text1"/>
          <w:kern w:val="2"/>
          <w14:textFill>
            <w14:solidFill>
              <w14:schemeClr w14:val="tx1"/>
            </w14:solidFill>
          </w14:textFill>
        </w:rPr>
        <w:t>河南</w:t>
      </w:r>
      <w:r>
        <w:rPr>
          <w:rFonts w:cstheme="minorBidi"/>
          <w:color w:val="000000" w:themeColor="text1"/>
          <w:kern w:val="2"/>
          <w14:textFill>
            <w14:solidFill>
              <w14:schemeClr w14:val="tx1"/>
            </w14:solidFill>
          </w14:textFill>
        </w:rPr>
        <w:fldChar w:fldCharType="end"/>
      </w:r>
      <w:r>
        <w:rPr>
          <w:rFonts w:cstheme="minorBidi"/>
          <w:color w:val="000000" w:themeColor="text1"/>
          <w:kern w:val="2"/>
          <w14:textFill>
            <w14:solidFill>
              <w14:schemeClr w14:val="tx1"/>
            </w14:solidFill>
          </w14:textFill>
        </w:rPr>
        <w:t>中安建培教育科技有限公司，桑主任忽悠说考初级安全工程师交钱可以包过，于是交款16600元，晚上一查所以培训机构没有包过这一说，再一个当时让王先生报名河南中安的那个说可以挂靠中铁公司。</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据王先生了解，有单位根本就挂靠不了，所以2024年9月6日和他们说退款，那个报名初级班交了3380元退回来了2062元，这个16600元一直在拖，现在问急了说40个工作日还不一定，王先生有和那推荐老师的所以通话记录，微信记录，自2024年9月6日就一直催他们，打电话找他们，他们就是各种推脱，王先生对他们这种骗子行为很厌恶。10月16日退回4600元，这还分着退了，套路真多， 退款合同他们给王先生发来也签了，退回剩余12000元。 诉求赶快退回收取的剩余款12000元到所打款账户，</w:t>
      </w:r>
    </w:p>
    <w:p>
      <w:pPr>
        <w:pStyle w:val="10"/>
        <w:widowControl/>
        <w:shd w:val="clear" w:color="auto" w:fill="FFFFFF"/>
        <w:spacing w:before="150" w:beforeAutospacing="0" w:after="150" w:afterAutospacing="0" w:line="420" w:lineRule="atLeast"/>
        <w:ind w:firstLine="420"/>
        <w:rPr>
          <w:rFonts w:cstheme="minorBidi"/>
          <w:color w:val="000000" w:themeColor="text1"/>
          <w:kern w:val="2"/>
          <w14:textFill>
            <w14:solidFill>
              <w14:schemeClr w14:val="tx1"/>
            </w14:solidFill>
          </w14:textFill>
        </w:rPr>
      </w:pPr>
      <w:r>
        <w:rPr>
          <w:rFonts w:cstheme="minorBidi"/>
          <w:color w:val="000000" w:themeColor="text1"/>
          <w:kern w:val="2"/>
          <w14:textFill>
            <w14:solidFill>
              <w14:schemeClr w14:val="tx1"/>
            </w14:solidFill>
          </w14:textFill>
        </w:rPr>
        <w:t>接到该用户投诉后，我们第一时间将投诉案件移交该平台相关工作人员督办妥善处理。但截至发稿前，尚未收到中安建培的工作人员回复。</w:t>
      </w:r>
    </w:p>
    <w:p>
      <w:pPr>
        <w:pStyle w:val="2"/>
        <w:rPr>
          <w:rFonts w:ascii="微软雅黑" w:hAnsi="微软雅黑" w:eastAsia="微软雅黑" w:cs="微软雅黑"/>
          <w:sz w:val="32"/>
          <w:szCs w:val="32"/>
        </w:rPr>
      </w:pPr>
      <w:bookmarkStart w:id="25" w:name="_Toc2260"/>
      <w:r>
        <w:rPr>
          <w:rFonts w:hint="eastAsia" w:ascii="微软雅黑" w:hAnsi="微软雅黑" w:eastAsia="微软雅黑" w:cs="微软雅黑"/>
          <w:sz w:val="32"/>
          <w:szCs w:val="32"/>
        </w:rPr>
        <w:t>四、关于我们</w:t>
      </w:r>
      <w:bookmarkEnd w:id="25"/>
    </w:p>
    <w:p>
      <w:pPr>
        <w:pStyle w:val="3"/>
      </w:pPr>
      <w:bookmarkStart w:id="26" w:name="_Toc3113"/>
      <w:bookmarkStart w:id="27" w:name="_Toc24272"/>
      <w:bookmarkStart w:id="28" w:name="_Toc2953"/>
      <w:bookmarkStart w:id="29" w:name="_Toc18898"/>
      <w:bookmarkStart w:id="30" w:name="_Toc21866"/>
      <w:bookmarkStart w:id="31" w:name="_Toc29794"/>
      <w:bookmarkStart w:id="32" w:name="_Toc16553"/>
      <w:bookmarkStart w:id="33" w:name="_Toc10589"/>
      <w:bookmarkStart w:id="34" w:name="_Toc28453"/>
      <w:bookmarkStart w:id="35" w:name="_Toc18760"/>
      <w:bookmarkStart w:id="36" w:name="_Toc28705"/>
      <w:bookmarkStart w:id="37" w:name="_Toc25785"/>
      <w:bookmarkStart w:id="38" w:name="_Toc3632"/>
      <w:bookmarkStart w:id="39" w:name="_Toc1104"/>
      <w:bookmarkStart w:id="40" w:name="_Toc23921"/>
      <w:bookmarkStart w:id="41" w:name="_Toc23109"/>
      <w:bookmarkStart w:id="42" w:name="_Toc15077"/>
      <w:bookmarkStart w:id="43" w:name="_Toc8817"/>
      <w:r>
        <w:rPr>
          <w:rFonts w:hint="eastAsia"/>
        </w:rPr>
        <w:t>（一）关于</w:t>
      </w:r>
      <w:bookmarkEnd w:id="26"/>
      <w:r>
        <w:rPr>
          <w:rFonts w:hint="eastAsia"/>
        </w:rPr>
        <w:t>电诉宝</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pPr>
        <w:spacing w:before="156" w:beforeLines="50" w:after="156" w:afterLines="50" w:line="360" w:lineRule="auto"/>
        <w:ind w:firstLine="480" w:firstLineChars="200"/>
      </w:pPr>
      <w:r>
        <w:rPr>
          <w:rFonts w:hint="eastAsia" w:ascii="宋体" w:hAnsi="宋体" w:eastAsia="宋体" w:cs="宋体"/>
          <w:sz w:val="24"/>
        </w:rPr>
        <w:t>国内知名网络消费纠纷调解平台“电诉宝”（315.100EC.CN）运行10余年来，与全国近千家网络消费平台建立对接，影响1亿+网络消费用户，新系统实现一键投诉、24h在线、自助维权、同步直达、实时处理、进度查询、评价体系、法律求助、大数据分析等诸多功能。目前，平台“绿色通道”服务向广大网络消费平台开放，各平台可自主申请入驻，实时受理、反馈和查询用户满意度评价。为了更好地营造公开、透明、健康的网络消费投诉环境，“电诉宝”公开版已正式上线，新增用户投诉实时受理动态、月度平台投诉量TOP10、热点投诉地区、投诉榜（依据投诉量排行）等模块，让投诉过程透明化，一手掌握信息动态。</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“电诉宝”（网络消费纠纷调解平台；</w:t>
      </w:r>
      <w:r>
        <w:fldChar w:fldCharType="begin"/>
      </w:r>
      <w:r>
        <w:instrText xml:space="preserve"> HYPERLINK "file:///C:\\Users\\Administrator\\Desktop\\稿件\\315.100EC.CN" </w:instrText>
      </w:r>
      <w:r>
        <w:fldChar w:fldCharType="separate"/>
      </w:r>
      <w:r>
        <w:rPr>
          <w:rStyle w:val="15"/>
          <w:rFonts w:hint="eastAsia" w:asciiTheme="minorEastAsia" w:hAnsiTheme="minorEastAsia" w:cstheme="minorEastAsia"/>
          <w:sz w:val="24"/>
        </w:rPr>
        <w:t>315.100EC.CN</w:t>
      </w:r>
      <w:r>
        <w:rPr>
          <w:rStyle w:val="15"/>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网购用户信赖。</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此外，为了更好帮助电商平台更好的处理投诉。平台“绿色通道”服务向广大电商平台开放，电商可自主申请入驻，实时受理、反馈和查询用户满意度评价。</w:t>
      </w:r>
    </w:p>
    <w:p>
      <w:pPr>
        <w:spacing w:before="156" w:beforeLines="50" w:after="156" w:afterLines="50" w:line="360" w:lineRule="auto"/>
      </w:pPr>
      <w:r>
        <w:drawing>
          <wp:inline distT="0" distB="0" distL="114300" distR="114300">
            <wp:extent cx="5273675" cy="4140200"/>
            <wp:effectExtent l="0" t="0" r="3175"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0" cstate="print"/>
                    <a:stretch>
                      <a:fillRect/>
                    </a:stretch>
                  </pic:blipFill>
                  <pic:spPr>
                    <a:xfrm>
                      <a:off x="0" y="0"/>
                      <a:ext cx="5273675" cy="4140200"/>
                    </a:xfrm>
                    <a:prstGeom prst="rect">
                      <a:avLst/>
                    </a:prstGeom>
                    <a:noFill/>
                    <a:ln>
                      <a:noFill/>
                    </a:ln>
                  </pic:spPr>
                </pic:pic>
              </a:graphicData>
            </a:graphic>
          </wp:inline>
        </w:drawing>
      </w:r>
    </w:p>
    <w:p>
      <w:pPr>
        <w:spacing w:before="156" w:beforeLines="50" w:after="156" w:afterLines="50" w:line="360" w:lineRule="auto"/>
        <w:ind w:firstLine="480" w:firstLineChars="200"/>
        <w:rPr>
          <w:rFonts w:ascii="宋体" w:hAnsi="宋体" w:eastAsia="宋体" w:cs="宋体"/>
          <w:sz w:val="24"/>
        </w:rPr>
      </w:pPr>
      <w:r>
        <w:rPr>
          <w:rFonts w:ascii="宋体" w:hAnsi="宋体" w:eastAsia="宋体" w:cs="宋体"/>
          <w:sz w:val="24"/>
        </w:rPr>
        <w:t>为了更好地营造公开、透明、健康的电商消费投诉环境，</w:t>
      </w:r>
      <w:r>
        <w:rPr>
          <w:rFonts w:hint="eastAsia" w:ascii="宋体" w:hAnsi="宋体" w:eastAsia="宋体" w:cs="宋体"/>
          <w:sz w:val="24"/>
        </w:rPr>
        <w:t>“</w:t>
      </w:r>
      <w:r>
        <w:rPr>
          <w:rFonts w:ascii="宋体" w:hAnsi="宋体" w:eastAsia="宋体" w:cs="宋体"/>
          <w:sz w:val="24"/>
        </w:rPr>
        <w:t>电诉宝</w:t>
      </w:r>
      <w:r>
        <w:rPr>
          <w:rFonts w:hint="eastAsia" w:ascii="宋体" w:hAnsi="宋体" w:eastAsia="宋体" w:cs="宋体"/>
          <w:sz w:val="24"/>
        </w:rPr>
        <w:t>”</w:t>
      </w:r>
      <w:r>
        <w:rPr>
          <w:rFonts w:ascii="宋体" w:hAnsi="宋体" w:eastAsia="宋体" w:cs="宋体"/>
          <w:sz w:val="24"/>
        </w:rPr>
        <w:t>公开版于2020年7月1日正式上线，</w:t>
      </w:r>
      <w:r>
        <w:rPr>
          <w:rStyle w:val="14"/>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156" w:beforeLines="50" w:after="156" w:afterLines="50" w:line="360" w:lineRule="auto"/>
      </w:pPr>
      <w:r>
        <w:drawing>
          <wp:inline distT="0" distB="0" distL="114300" distR="114300">
            <wp:extent cx="5272405" cy="3801110"/>
            <wp:effectExtent l="0" t="0" r="4445" b="889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21"/>
                    <a:stretch>
                      <a:fillRect/>
                    </a:stretch>
                  </pic:blipFill>
                  <pic:spPr>
                    <a:xfrm>
                      <a:off x="0" y="0"/>
                      <a:ext cx="5272405" cy="3801110"/>
                    </a:xfrm>
                    <a:prstGeom prst="rect">
                      <a:avLst/>
                    </a:prstGeom>
                    <a:noFill/>
                    <a:ln>
                      <a:noFill/>
                    </a:ln>
                  </pic:spPr>
                </pic:pic>
              </a:graphicData>
            </a:graphic>
          </wp:inline>
        </w:drawing>
      </w:r>
    </w:p>
    <w:p>
      <w:pPr>
        <w:pStyle w:val="3"/>
        <w:rPr>
          <w:rFonts w:asciiTheme="minorEastAsia" w:hAnsiTheme="minorEastAsia" w:cstheme="minorEastAsia"/>
          <w:szCs w:val="28"/>
        </w:rPr>
      </w:pPr>
      <w:bookmarkStart w:id="44" w:name="_Toc10978"/>
      <w:bookmarkStart w:id="45" w:name="_Toc11744"/>
      <w:bookmarkStart w:id="46" w:name="_Toc13799"/>
      <w:bookmarkStart w:id="47" w:name="_Toc8017"/>
      <w:bookmarkStart w:id="48" w:name="_Toc4676"/>
      <w:bookmarkStart w:id="49" w:name="_Toc352"/>
      <w:bookmarkStart w:id="50" w:name="_Toc2152"/>
      <w:bookmarkStart w:id="51" w:name="_Toc32176"/>
      <w:bookmarkStart w:id="52" w:name="_Toc8999"/>
      <w:bookmarkStart w:id="53" w:name="_Toc29763"/>
      <w:bookmarkStart w:id="54" w:name="_Toc18210"/>
      <w:bookmarkStart w:id="55" w:name="_Toc10161"/>
      <w:bookmarkStart w:id="56" w:name="_Toc22876"/>
      <w:bookmarkStart w:id="57" w:name="_Toc26824"/>
      <w:bookmarkStart w:id="58" w:name="_Toc28892"/>
      <w:bookmarkStart w:id="59" w:name="_Toc32497"/>
      <w:bookmarkStart w:id="60" w:name="_Toc21023"/>
      <w:bookmarkStart w:id="61" w:name="_Toc14641"/>
      <w:r>
        <w:rPr>
          <w:rFonts w:hint="eastAsia" w:asciiTheme="minorEastAsia" w:hAnsiTheme="minorEastAsia" w:cstheme="minorEastAsia"/>
          <w:szCs w:val="28"/>
        </w:rPr>
        <w:t>（二）关于网经社</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pPr>
        <w:spacing w:before="156" w:beforeLines="50" w:line="360" w:lineRule="auto"/>
        <w:ind w:firstLine="480" w:firstLineChars="200"/>
        <w:jc w:val="left"/>
        <w:rPr>
          <w:rFonts w:ascii="宋体" w:hAnsi="宋体" w:eastAsia="宋体" w:cs="宋体"/>
          <w:sz w:val="24"/>
        </w:rPr>
      </w:pPr>
      <w:bookmarkStart w:id="62" w:name="_Toc12775"/>
      <w:bookmarkStart w:id="63" w:name="_Toc8331"/>
      <w:bookmarkStart w:id="64" w:name="_Toc14729"/>
      <w:bookmarkStart w:id="65" w:name="_Toc9734"/>
      <w:bookmarkStart w:id="66" w:name="_Toc22227"/>
      <w:bookmarkStart w:id="67" w:name="_Toc11058"/>
      <w:bookmarkStart w:id="68" w:name="_Toc5396"/>
      <w:r>
        <w:rPr>
          <w:rFonts w:hint="eastAsia" w:ascii="宋体" w:hAnsi="宋体" w:eastAsia="宋体" w:cs="宋体"/>
          <w:sz w:val="24"/>
        </w:rPr>
        <w:t>浙江网经社信息科技公司拥有17年历史，旗下运营：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rPr>
        <w:t>新媒体)、网经社电子商务研究中心(智库)、“电数宝”(大数据)、“投融资中心”(FA)、“电诉宝”(C端)、网盛</w:t>
      </w:r>
      <w:r>
        <w:rPr>
          <w:rFonts w:ascii="宋体" w:hAnsi="宋体" w:eastAsia="宋体" w:cs="宋体"/>
          <w:b/>
          <w:sz w:val="24"/>
        </w:rPr>
        <w:t>消费品电商供应链金融服务中心</w:t>
      </w:r>
      <w:r>
        <w:rPr>
          <w:rFonts w:hint="eastAsia" w:ascii="宋体" w:hAnsi="宋体" w:eastAsia="宋体" w:cs="宋体"/>
          <w:b/>
          <w:sz w:val="24"/>
        </w:rPr>
        <w:t>（金融）</w:t>
      </w:r>
      <w:r>
        <w:rPr>
          <w:rFonts w:hint="eastAsia" w:ascii="宋体" w:hAnsi="宋体" w:eastAsia="宋体" w:cs="宋体"/>
          <w:sz w:val="24"/>
        </w:rPr>
        <w:t>等系列子品牌/平台/产品，提供媒体、研究、数据、融资、营销、顾问等服务，并致力于打造大数据驱动的“领先的数字经济服务商”。</w:t>
      </w:r>
    </w:p>
    <w:p>
      <w:pPr>
        <w:spacing w:before="156"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156"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156"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156" w:beforeLines="50" w:line="360" w:lineRule="auto"/>
      </w:pPr>
      <w:r>
        <w:drawing>
          <wp:inline distT="0" distB="0" distL="0" distR="0">
            <wp:extent cx="5274310" cy="2649220"/>
            <wp:effectExtent l="0" t="0" r="2540" b="1778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noChangeArrowheads="1"/>
                    </pic:cNvPicPr>
                  </pic:nvPicPr>
                  <pic:blipFill>
                    <a:blip r:embed="rId22"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156"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156"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7"/>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widowControl/>
        <w:spacing w:before="156"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1"/>
        </w:numPr>
        <w:spacing w:before="156"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hint="eastAsia" w:asciiTheme="minorEastAsia" w:hAnsiTheme="minorEastAsia"/>
          <w:b/>
          <w:sz w:val="24"/>
        </w:rPr>
        <w:t>2024年Q4中国</w:t>
      </w:r>
      <w:r>
        <w:rPr>
          <w:rFonts w:hint="eastAsia" w:asciiTheme="minorEastAsia" w:hAnsiTheme="minorEastAsia" w:cstheme="minorEastAsia"/>
          <w:b/>
          <w:color w:val="000000" w:themeColor="text1"/>
          <w:sz w:val="24"/>
          <w14:textFill>
            <w14:solidFill>
              <w14:schemeClr w14:val="tx1"/>
            </w14:solidFill>
          </w14:textFill>
        </w:rPr>
        <w:t>数字教育用户体验与投诉数据报告》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156"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156"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156"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ascii="宋体" w:hAnsi="宋体" w:cs="宋体"/>
          <w:b/>
          <w:bCs/>
          <w:sz w:val="28"/>
          <w:szCs w:val="28"/>
        </w:rPr>
      </w:pPr>
      <w:bookmarkStart w:id="69" w:name="_Toc1691"/>
      <w:bookmarkStart w:id="70" w:name="_Toc102659530"/>
      <w:bookmarkStart w:id="71" w:name="_Toc16370"/>
      <w:bookmarkStart w:id="72" w:name="_Toc12878"/>
      <w:bookmarkStart w:id="73" w:name="_Toc14637"/>
      <w:bookmarkStart w:id="74" w:name="_Toc30814"/>
      <w:bookmarkStart w:id="75" w:name="_Toc11384"/>
      <w:bookmarkStart w:id="76" w:name="_Toc24557"/>
      <w:bookmarkStart w:id="77" w:name="_Toc10799"/>
      <w:bookmarkStart w:id="78" w:name="_Toc24312"/>
      <w:bookmarkStart w:id="79" w:name="_Toc21512"/>
      <w:bookmarkStart w:id="80" w:name="_Toc18850"/>
      <w:bookmarkStart w:id="81" w:name="_Toc22932"/>
      <w:bookmarkStart w:id="82" w:name="_Toc1123"/>
      <w:bookmarkStart w:id="83" w:name="_Toc4658"/>
      <w:bookmarkStart w:id="84" w:name="_Toc17041"/>
      <w:bookmarkStart w:id="85" w:name="_Toc27093"/>
      <w:bookmarkStart w:id="86" w:name="_Toc21964"/>
      <w:bookmarkStart w:id="87" w:name="_Toc26410"/>
      <w:bookmarkStart w:id="88" w:name="_Toc25067"/>
      <w:bookmarkStart w:id="89" w:name="_Toc16859"/>
      <w:bookmarkStart w:id="90" w:name="_Toc31781"/>
      <w:bookmarkStart w:id="91" w:name="_Toc11907"/>
      <w:bookmarkStart w:id="92" w:name="_Toc6977"/>
      <w:bookmarkStart w:id="93" w:name="_Toc2264"/>
      <w:bookmarkStart w:id="94" w:name="_Toc13390"/>
      <w:bookmarkStart w:id="95" w:name="_Toc24469"/>
      <w:bookmarkStart w:id="96" w:name="_Toc23545"/>
      <w:r>
        <w:rPr>
          <w:rFonts w:hint="eastAsia" w:ascii="宋体" w:hAnsi="宋体" w:cs="宋体"/>
          <w:b/>
          <w:bCs/>
          <w:sz w:val="28"/>
          <w:szCs w:val="28"/>
        </w:rPr>
        <w:t>报告发布：网经社电子商务研究中心</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wordWrap w:val="0"/>
        <w:spacing w:line="360" w:lineRule="auto"/>
        <w:ind w:firstLine="482"/>
        <w:jc w:val="right"/>
        <w:outlineLvl w:val="1"/>
        <w:rPr>
          <w:rStyle w:val="14"/>
          <w:rFonts w:ascii="微软雅黑" w:hAnsi="微软雅黑" w:cs="微软雅黑"/>
          <w:color w:val="C00000"/>
          <w:sz w:val="28"/>
          <w:szCs w:val="28"/>
        </w:rPr>
      </w:pPr>
      <w:bookmarkStart w:id="97" w:name="_Toc15190"/>
      <w:bookmarkStart w:id="98" w:name="_Toc32754"/>
      <w:bookmarkStart w:id="99" w:name="_Toc13591"/>
      <w:bookmarkStart w:id="100" w:name="_Toc11602"/>
      <w:bookmarkStart w:id="101" w:name="_Toc27361"/>
      <w:bookmarkStart w:id="102" w:name="_Toc29828"/>
      <w:bookmarkStart w:id="103" w:name="_Toc8948"/>
      <w:bookmarkStart w:id="104" w:name="_Toc32066"/>
      <w:bookmarkStart w:id="105" w:name="_Toc13308"/>
      <w:bookmarkStart w:id="106" w:name="_Toc11147"/>
      <w:bookmarkStart w:id="107" w:name="_Toc17860"/>
      <w:bookmarkStart w:id="108" w:name="_Toc10340"/>
      <w:bookmarkStart w:id="109" w:name="_Toc17877"/>
      <w:bookmarkStart w:id="110" w:name="_Toc26158"/>
      <w:bookmarkStart w:id="111" w:name="_Toc15606"/>
      <w:bookmarkStart w:id="112" w:name="_Toc20008"/>
      <w:bookmarkStart w:id="113" w:name="_Toc32183"/>
      <w:bookmarkStart w:id="114" w:name="_Toc15503"/>
      <w:bookmarkStart w:id="115" w:name="_Toc9613"/>
      <w:bookmarkStart w:id="116" w:name="_Toc3695"/>
      <w:bookmarkStart w:id="117" w:name="_Toc1221"/>
      <w:bookmarkStart w:id="118" w:name="_Toc1018"/>
      <w:bookmarkStart w:id="119" w:name="_Toc30660"/>
      <w:bookmarkStart w:id="120" w:name="_Toc11282"/>
      <w:bookmarkStart w:id="121" w:name="_Toc24934"/>
      <w:bookmarkStart w:id="122" w:name="_Toc21341"/>
      <w:bookmarkStart w:id="123" w:name="_Toc11142"/>
      <w:bookmarkStart w:id="124" w:name="_Toc17132"/>
      <w:bookmarkStart w:id="125" w:name="_Toc29568"/>
      <w:bookmarkStart w:id="126" w:name="_Toc23535"/>
      <w:bookmarkStart w:id="127" w:name="_Toc10921"/>
      <w:bookmarkStart w:id="128" w:name="_Toc5381"/>
      <w:bookmarkStart w:id="129" w:name="_Toc15571"/>
      <w:bookmarkStart w:id="130" w:name="_Toc102659531"/>
      <w:bookmarkStart w:id="131" w:name="_Toc14813"/>
      <w:r>
        <w:rPr>
          <w:rFonts w:hint="eastAsia" w:ascii="宋体" w:hAnsi="宋体" w:cs="宋体"/>
          <w:b/>
          <w:bCs/>
          <w:sz w:val="28"/>
          <w:szCs w:val="28"/>
        </w:rPr>
        <w:t>发布时间</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hint="eastAsia" w:ascii="宋体" w:hAnsi="宋体" w:cs="宋体"/>
          <w:b/>
          <w:bCs/>
          <w:sz w:val="28"/>
          <w:szCs w:val="28"/>
        </w:rPr>
        <w:t>：2025年</w:t>
      </w:r>
      <w:bookmarkEnd w:id="120"/>
      <w:bookmarkEnd w:id="121"/>
      <w:bookmarkEnd w:id="122"/>
      <w:bookmarkEnd w:id="123"/>
      <w:bookmarkEnd w:id="124"/>
      <w:bookmarkEnd w:id="125"/>
      <w:bookmarkEnd w:id="126"/>
      <w:bookmarkEnd w:id="127"/>
      <w:bookmarkEnd w:id="128"/>
      <w:r>
        <w:rPr>
          <w:rFonts w:hint="eastAsia" w:ascii="宋体" w:hAnsi="宋体" w:cs="宋体"/>
          <w:b/>
          <w:bCs/>
          <w:sz w:val="28"/>
          <w:szCs w:val="28"/>
        </w:rPr>
        <w:t>2月1</w:t>
      </w:r>
      <w:r>
        <w:rPr>
          <w:rFonts w:ascii="宋体" w:hAnsi="宋体" w:cs="宋体"/>
          <w:b/>
          <w:bCs/>
          <w:sz w:val="28"/>
          <w:szCs w:val="28"/>
        </w:rPr>
        <w:t>7</w:t>
      </w:r>
      <w:r>
        <w:rPr>
          <w:rFonts w:hint="eastAsia" w:ascii="宋体" w:hAnsi="宋体" w:cs="宋体"/>
          <w:b/>
          <w:bCs/>
          <w:sz w:val="28"/>
          <w:szCs w:val="28"/>
        </w:rPr>
        <w:t>日</w:t>
      </w:r>
      <w:bookmarkEnd w:id="129"/>
      <w:bookmarkEnd w:id="130"/>
      <w:bookmarkEnd w:id="131"/>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ascii="微软雅黑" w:hAnsi="微软雅黑" w:cs="微软雅黑"/>
          <w:color w:val="C00000"/>
          <w:sz w:val="28"/>
          <w:szCs w:val="28"/>
        </w:rPr>
      </w:pPr>
    </w:p>
    <w:p>
      <w:pPr>
        <w:spacing w:line="360" w:lineRule="auto"/>
        <w:ind w:firstLine="482"/>
        <w:jc w:val="right"/>
        <w:outlineLvl w:val="1"/>
        <w:rPr>
          <w:rStyle w:val="14"/>
          <w:rFonts w:hint="eastAsia" w:ascii="微软雅黑" w:hAnsi="微软雅黑" w:cs="微软雅黑"/>
          <w:color w:val="C00000"/>
          <w:sz w:val="28"/>
          <w:szCs w:val="28"/>
        </w:rPr>
      </w:pPr>
    </w:p>
    <w:p>
      <w:pPr>
        <w:spacing w:before="156" w:beforeLines="50"/>
        <w:outlineLvl w:val="1"/>
        <w:rPr>
          <w:rStyle w:val="14"/>
          <w:rFonts w:ascii="微软雅黑" w:hAnsi="微软雅黑" w:eastAsia="微软雅黑" w:cs="微软雅黑"/>
          <w:bCs/>
          <w:color w:val="5B9BD5" w:themeColor="accent1"/>
          <w:sz w:val="28"/>
          <w:szCs w:val="28"/>
          <w14:textFill>
            <w14:solidFill>
              <w14:schemeClr w14:val="accent1"/>
            </w14:solidFill>
          </w14:textFill>
        </w:rPr>
      </w:pPr>
      <w:bookmarkStart w:id="132" w:name="_Toc25790"/>
      <w:bookmarkStart w:id="133" w:name="_Toc3659"/>
      <w:bookmarkStart w:id="134" w:name="_Toc26039"/>
      <w:bookmarkStart w:id="135" w:name="_Toc13315"/>
      <w:bookmarkStart w:id="136" w:name="_Toc29962"/>
      <w:bookmarkStart w:id="137" w:name="_Toc5429"/>
      <w:bookmarkStart w:id="138" w:name="_Toc66"/>
      <w:bookmarkStart w:id="139" w:name="_Toc7520"/>
      <w:bookmarkStart w:id="140" w:name="_Toc20146"/>
      <w:bookmarkStart w:id="141" w:name="_Toc18918"/>
      <w:bookmarkStart w:id="142" w:name="_Toc10893"/>
      <w:bookmarkStart w:id="143" w:name="_Toc26390"/>
      <w:bookmarkStart w:id="144" w:name="_Toc6588"/>
      <w:bookmarkStart w:id="145" w:name="_Toc20860"/>
      <w:bookmarkStart w:id="146" w:name="_Toc9748"/>
      <w:bookmarkStart w:id="147" w:name="_Toc14425"/>
      <w:bookmarkStart w:id="148" w:name="_Toc21943"/>
      <w:bookmarkStart w:id="149" w:name="_Toc24167"/>
      <w:bookmarkStart w:id="150" w:name="_Toc102659532"/>
      <w:bookmarkStart w:id="151" w:name="_Toc22856"/>
      <w:bookmarkStart w:id="152" w:name="_Toc16563"/>
      <w:bookmarkStart w:id="153" w:name="_Toc11112"/>
      <w:bookmarkStart w:id="154" w:name="_Toc12631"/>
      <w:bookmarkStart w:id="155" w:name="_Toc21832"/>
      <w:r>
        <w:rPr>
          <w:rStyle w:val="14"/>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pPr>
        <w:spacing w:before="156" w:beforeLines="50"/>
        <w:rPr>
          <w:rFonts w:asciiTheme="minorEastAsia" w:hAnsiTheme="minorEastAsia" w:cstheme="minorEastAsia"/>
          <w:b/>
          <w:bCs/>
          <w:color w:val="5B9BD5" w:themeColor="accent1"/>
          <w:szCs w:val="21"/>
          <w14:textFill>
            <w14:solidFill>
              <w14:schemeClr w14:val="accent1"/>
            </w14:solidFill>
          </w14:textFill>
        </w:rPr>
      </w:pPr>
      <w:r>
        <w:rPr>
          <w:rStyle w:val="14"/>
          <w:rFonts w:hint="eastAsia" w:asciiTheme="minorEastAsia" w:hAnsiTheme="minorEastAsia" w:cstheme="minorEastAsia"/>
          <w:color w:val="5B9BD5" w:themeColor="accent1"/>
          <w:szCs w:val="21"/>
          <w14:textFill>
            <w14:solidFill>
              <w14:schemeClr w14:val="accent1"/>
            </w14:solidFill>
          </w14:textFill>
        </w:rPr>
        <w:t xml:space="preserve">（近40万电商人都在看！）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156"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383030" cy="1398905"/>
            <wp:effectExtent l="0" t="0" r="7620" b="1079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noChangeArrowheads="1"/>
                    </pic:cNvPicPr>
                  </pic:nvPicPr>
                  <pic:blipFill>
                    <a:blip r:embed="rId23"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372870" cy="1365250"/>
            <wp:effectExtent l="0" t="0" r="17780" b="635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4" cstate="print"/>
                    <a:stretch>
                      <a:fillRect/>
                    </a:stretch>
                  </pic:blipFill>
                  <pic:spPr>
                    <a:xfrm>
                      <a:off x="0" y="0"/>
                      <a:ext cx="1372870" cy="1365250"/>
                    </a:xfrm>
                    <a:prstGeom prst="rect">
                      <a:avLst/>
                    </a:prstGeom>
                    <a:noFill/>
                    <a:ln>
                      <a:noFill/>
                    </a:ln>
                  </pic:spPr>
                </pic:pic>
              </a:graphicData>
            </a:graphic>
          </wp:inline>
        </w:drawing>
      </w:r>
    </w:p>
    <w:p>
      <w:pPr>
        <w:spacing w:before="156" w:beforeLines="50"/>
        <w:jc w:val="left"/>
        <w:outlineLvl w:val="1"/>
        <w:rPr>
          <w:rFonts w:ascii="微软雅黑" w:hAnsi="微软雅黑" w:eastAsia="微软雅黑" w:cs="微软雅黑"/>
          <w:b/>
          <w:bCs/>
          <w:color w:val="5B9BD5" w:themeColor="accent1"/>
          <w:sz w:val="28"/>
          <w:szCs w:val="28"/>
          <w14:textFill>
            <w14:solidFill>
              <w14:schemeClr w14:val="accent1"/>
            </w14:solidFill>
          </w14:textFill>
        </w:rPr>
      </w:pPr>
      <w:bookmarkStart w:id="156" w:name="_Toc1733"/>
      <w:bookmarkStart w:id="157" w:name="_Toc10027"/>
      <w:bookmarkStart w:id="158" w:name="_Toc24712"/>
      <w:bookmarkStart w:id="159" w:name="_Toc18278"/>
      <w:bookmarkStart w:id="160" w:name="_Toc26109"/>
      <w:bookmarkStart w:id="161" w:name="_Toc1644"/>
      <w:bookmarkStart w:id="162" w:name="_Toc27206"/>
      <w:bookmarkStart w:id="163" w:name="_Toc2332"/>
      <w:bookmarkStart w:id="164" w:name="_Toc13272"/>
      <w:bookmarkStart w:id="165" w:name="_Toc18710"/>
      <w:bookmarkStart w:id="166" w:name="_Toc1119"/>
      <w:bookmarkStart w:id="167" w:name="_Toc8579"/>
      <w:bookmarkStart w:id="168" w:name="_Toc2691"/>
      <w:bookmarkStart w:id="169" w:name="_Toc8396"/>
      <w:bookmarkStart w:id="170" w:name="_Toc17692"/>
      <w:bookmarkStart w:id="171" w:name="_Toc28328"/>
      <w:bookmarkStart w:id="172" w:name="_Toc25901"/>
      <w:bookmarkStart w:id="173" w:name="_Toc14643"/>
      <w:bookmarkStart w:id="174" w:name="_Toc29005"/>
      <w:bookmarkStart w:id="175" w:name="_Toc102659533"/>
      <w:bookmarkStart w:id="176" w:name="_Toc19281"/>
      <w:bookmarkStart w:id="177" w:name="_Toc6179"/>
      <w:bookmarkStart w:id="178" w:name="_Toc26948"/>
      <w:bookmarkStart w:id="179" w:name="_Toc27235"/>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5"/>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5"/>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5"/>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5"/>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10"/>
        <w:widowControl/>
        <w:spacing w:afterAutospacing="0"/>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（16年沉淀100万+条数据覆盖4000+平台）                   （我要投诉）</w:t>
      </w:r>
    </w:p>
    <w:p>
      <w:pPr>
        <w:spacing w:before="156"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365885" cy="1372870"/>
            <wp:effectExtent l="0" t="0" r="5715" b="17780"/>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noChangeArrowheads="1"/>
                    </pic:cNvPicPr>
                  </pic:nvPicPr>
                  <pic:blipFill>
                    <a:blip r:embed="rId25" cstate="print"/>
                    <a:srcRect/>
                    <a:stretch>
                      <a:fillRect/>
                    </a:stretch>
                  </pic:blipFill>
                  <pic:spPr>
                    <a:xfrm>
                      <a:off x="0" y="0"/>
                      <a:ext cx="1365885" cy="1372870"/>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410335" cy="1405890"/>
            <wp:effectExtent l="0" t="0" r="18415" b="3810"/>
            <wp:docPr id="39"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8" descr="电诉宝"/>
                    <pic:cNvPicPr>
                      <a:picLocks noChangeAspect="1"/>
                    </pic:cNvPicPr>
                  </pic:nvPicPr>
                  <pic:blipFill>
                    <a:blip r:embed="rId26" cstate="print"/>
                    <a:stretch>
                      <a:fillRect/>
                    </a:stretch>
                  </pic:blipFill>
                  <pic:spPr>
                    <a:xfrm>
                      <a:off x="0" y="0"/>
                      <a:ext cx="1410335" cy="1405890"/>
                    </a:xfrm>
                    <a:prstGeom prst="rect">
                      <a:avLst/>
                    </a:prstGeom>
                  </pic:spPr>
                </pic:pic>
              </a:graphicData>
            </a:graphic>
          </wp:inline>
        </w:drawing>
      </w:r>
    </w:p>
    <w:p>
      <w:pPr>
        <w:spacing w:before="156" w:beforeLines="50" w:line="360" w:lineRule="auto"/>
        <w:rPr>
          <w:rFonts w:ascii="微软雅黑" w:hAnsi="微软雅黑" w:eastAsia="微软雅黑" w:cs="微软雅黑"/>
          <w:b/>
          <w:bCs/>
          <w:sz w:val="28"/>
          <w:szCs w:val="28"/>
        </w:rPr>
      </w:pPr>
      <w:r>
        <w:rPr>
          <w:rFonts w:hint="eastAsia" w:ascii="微软雅黑" w:hAnsi="微软雅黑" w:eastAsia="微软雅黑" w:cs="微软雅黑"/>
          <w:b/>
          <w:bCs/>
          <w:color w:val="5B9BD5" w:themeColor="accent1"/>
          <w:sz w:val="28"/>
          <w:szCs w:val="28"/>
          <w14:textFill>
            <w14:solidFill>
              <w14:schemeClr w14:val="accent1"/>
            </w14:solidFill>
          </w14:textFill>
        </w:rPr>
        <w:t>视频号</w:t>
      </w:r>
      <w:r>
        <w:rPr>
          <w:rFonts w:hint="eastAsia" w:ascii="宋体" w:hAnsi="宋体" w:eastAsia="宋体" w:cs="宋体"/>
          <w:b/>
          <w:bCs/>
          <w:color w:val="5B9BD5" w:themeColor="accent1"/>
          <w:kern w:val="0"/>
          <w:szCs w:val="21"/>
          <w14:textFill>
            <w14:solidFill>
              <w14:schemeClr w14:val="accent1"/>
            </w14:solidFill>
          </w14:textFill>
        </w:rPr>
        <w:t>（视频号搜网经社）</w:t>
      </w:r>
      <w:r>
        <w:rPr>
          <w:rFonts w:hint="eastAsia" w:ascii="微软雅黑" w:hAnsi="微软雅黑" w:eastAsia="微软雅黑" w:cs="微软雅黑"/>
          <w:b/>
          <w:bCs/>
          <w:color w:val="5B9BD5" w:themeColor="accent1"/>
          <w:sz w:val="28"/>
          <w:szCs w:val="28"/>
          <w14:textFill>
            <w14:solidFill>
              <w14:schemeClr w14:val="accent1"/>
            </w14:solidFill>
          </w14:textFill>
        </w:rPr>
        <w:t xml:space="preserve">                    抖音号</w:t>
      </w:r>
      <w:r>
        <w:rPr>
          <w:rFonts w:hint="eastAsia" w:ascii="宋体" w:hAnsi="宋体" w:eastAsia="宋体" w:cs="宋体"/>
          <w:b/>
          <w:bCs/>
          <w:color w:val="5B9BD5" w:themeColor="accent1"/>
          <w:kern w:val="0"/>
          <w:szCs w:val="21"/>
          <w14:textFill>
            <w14:solidFill>
              <w14:schemeClr w14:val="accent1"/>
            </w14:solidFill>
          </w14:textFill>
        </w:rPr>
        <w:t>（抖音搜网经社）</w:t>
      </w:r>
    </w:p>
    <w:p>
      <w:pPr>
        <w:spacing w:before="156" w:beforeLines="50" w:line="360" w:lineRule="auto"/>
        <w:rPr>
          <w:rFonts w:ascii="微软雅黑" w:hAnsi="微软雅黑" w:eastAsia="微软雅黑" w:cs="微软雅黑"/>
          <w:b/>
          <w:bCs/>
          <w:sz w:val="28"/>
          <w:szCs w:val="28"/>
        </w:rPr>
      </w:pPr>
      <w:r>
        <w:rPr>
          <w:rFonts w:hint="eastAsia"/>
        </w:rPr>
        <w:t xml:space="preserve">      </w:t>
      </w:r>
      <w:r>
        <w:drawing>
          <wp:inline distT="0" distB="0" distL="114300" distR="114300">
            <wp:extent cx="1316990" cy="1286510"/>
            <wp:effectExtent l="0" t="0" r="1651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7"/>
                    <a:stretch>
                      <a:fillRect/>
                    </a:stretch>
                  </pic:blipFill>
                  <pic:spPr>
                    <a:xfrm>
                      <a:off x="0" y="0"/>
                      <a:ext cx="1316990" cy="128651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1343660" cy="1343660"/>
            <wp:effectExtent l="0" t="0" r="8890" b="8890"/>
            <wp:docPr id="3" name="图片 3"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_989544288_171_85_3_714067952_943a7035c91451f9c533e574160f0e42"/>
                    <pic:cNvPicPr>
                      <a:picLocks noChangeAspect="1"/>
                    </pic:cNvPicPr>
                  </pic:nvPicPr>
                  <pic:blipFill>
                    <a:blip r:embed="rId28"/>
                    <a:stretch>
                      <a:fillRect/>
                    </a:stretch>
                  </pic:blipFill>
                  <pic:spPr>
                    <a:xfrm>
                      <a:off x="0" y="0"/>
                      <a:ext cx="1343660" cy="1343660"/>
                    </a:xfrm>
                    <a:prstGeom prst="rect">
                      <a:avLst/>
                    </a:prstGeom>
                  </pic:spPr>
                </pic:pic>
              </a:graphicData>
            </a:graphic>
          </wp:inline>
        </w:drawing>
      </w:r>
    </w:p>
    <w:p>
      <w:pPr>
        <w:spacing w:before="156"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156" w:beforeLines="50" w:line="360" w:lineRule="auto"/>
        <w:jc w:val="center"/>
      </w:pPr>
      <w:r>
        <w:drawing>
          <wp:inline distT="0" distB="0" distL="0" distR="0">
            <wp:extent cx="1029970" cy="1029970"/>
            <wp:effectExtent l="0" t="0" r="17780" b="17780"/>
            <wp:docPr id="29"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descr="C:\Users\ADMINI~1\AppData\Local\Temp\Rar$DI05.574\gh_2373b3a28ca2_344.jpg"/>
                    <pic:cNvPicPr>
                      <a:picLocks noChangeAspect="1" noChangeArrowheads="1"/>
                    </pic:cNvPicPr>
                  </pic:nvPicPr>
                  <pic:blipFill>
                    <a:blip r:embed="rId29"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gsXokVAgAAFgQAAA4AAAAAAAAA&#10;AQAgAAAAHwEAAGRycy9lMm9Eb2MueG1sUEsFBgAAAAAGAAYAWQEAAKY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114300" distR="114300">
          <wp:extent cx="1906270" cy="310515"/>
          <wp:effectExtent l="19050" t="0" r="0" b="0"/>
          <wp:docPr id="78" name="图片 2" descr="C:\Users\Administrator\Desktop\网经社电子商务研究中心改.png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descr="C:\Users\Administrator\Desktop\网经社电子商务研究中心改.png网经社电子商务研究中心改"/>
                  <pic:cNvPicPr>
                    <a:picLocks noChangeAspect="1"/>
                  </pic:cNvPicPr>
                </pic:nvPicPr>
                <pic:blipFill>
                  <a:blip r:embed="rId1"/>
                  <a:stretch>
                    <a:fillRect/>
                  </a:stretch>
                </pic:blipFill>
                <pic:spPr>
                  <a:xfrm>
                    <a:off x="0" y="0"/>
                    <a:ext cx="1926602" cy="313779"/>
                  </a:xfrm>
                  <a:prstGeom prst="rect">
                    <a:avLst/>
                  </a:prstGeom>
                  <a:noFill/>
                  <a:ln>
                    <a:noFill/>
                  </a:ln>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1219200" cy="561975"/>
          <wp:effectExtent l="0" t="0" r="0" b="0"/>
          <wp:docPr id="1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电诉宝准Logo(1)"/>
                  <pic:cNvPicPr>
                    <a:picLocks noChangeAspect="1"/>
                  </pic:cNvPicPr>
                </pic:nvPicPr>
                <pic:blipFill>
                  <a:blip r:embed="rId2"/>
                  <a:stretch>
                    <a:fillRect/>
                  </a:stretch>
                </pic:blipFill>
                <pic:spPr>
                  <a:xfrm>
                    <a:off x="0" y="0"/>
                    <a:ext cx="1219200" cy="5619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BFBC2D"/>
    <w:multiLevelType w:val="singleLevel"/>
    <w:tmpl w:val="EABFBC2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2MjFhNzA3MjA5Y2ZlZjVlZTE3OGUwZWNiZjIyZjkifQ=="/>
  </w:docVars>
  <w:rsids>
    <w:rsidRoot w:val="25F2550C"/>
    <w:rsid w:val="00001BFC"/>
    <w:rsid w:val="000113DD"/>
    <w:rsid w:val="0001523C"/>
    <w:rsid w:val="00022A41"/>
    <w:rsid w:val="00024318"/>
    <w:rsid w:val="00024708"/>
    <w:rsid w:val="00027772"/>
    <w:rsid w:val="00031D32"/>
    <w:rsid w:val="00040EE7"/>
    <w:rsid w:val="00045055"/>
    <w:rsid w:val="0005588A"/>
    <w:rsid w:val="000578EB"/>
    <w:rsid w:val="00057B66"/>
    <w:rsid w:val="00060344"/>
    <w:rsid w:val="000609C7"/>
    <w:rsid w:val="00062F0B"/>
    <w:rsid w:val="00066BFD"/>
    <w:rsid w:val="00070D28"/>
    <w:rsid w:val="000774B4"/>
    <w:rsid w:val="00081BA7"/>
    <w:rsid w:val="00084B7B"/>
    <w:rsid w:val="00090368"/>
    <w:rsid w:val="00092D0C"/>
    <w:rsid w:val="00092D4D"/>
    <w:rsid w:val="00095F6C"/>
    <w:rsid w:val="000A238D"/>
    <w:rsid w:val="000B18FD"/>
    <w:rsid w:val="000B2382"/>
    <w:rsid w:val="000B38E1"/>
    <w:rsid w:val="000B6AFD"/>
    <w:rsid w:val="000C748D"/>
    <w:rsid w:val="000C7EFF"/>
    <w:rsid w:val="000D3D75"/>
    <w:rsid w:val="000E7E9A"/>
    <w:rsid w:val="000F0E33"/>
    <w:rsid w:val="000F1BFF"/>
    <w:rsid w:val="000F2F89"/>
    <w:rsid w:val="000F3A20"/>
    <w:rsid w:val="000F5277"/>
    <w:rsid w:val="00100D7B"/>
    <w:rsid w:val="00106BDB"/>
    <w:rsid w:val="00110989"/>
    <w:rsid w:val="00114BC4"/>
    <w:rsid w:val="00121912"/>
    <w:rsid w:val="00135094"/>
    <w:rsid w:val="00143765"/>
    <w:rsid w:val="0014589E"/>
    <w:rsid w:val="0014763C"/>
    <w:rsid w:val="001507E7"/>
    <w:rsid w:val="00174913"/>
    <w:rsid w:val="0018092F"/>
    <w:rsid w:val="00181175"/>
    <w:rsid w:val="00185E42"/>
    <w:rsid w:val="001A490F"/>
    <w:rsid w:val="001A598D"/>
    <w:rsid w:val="001B0E53"/>
    <w:rsid w:val="001B1CA9"/>
    <w:rsid w:val="001B4DFC"/>
    <w:rsid w:val="001B640F"/>
    <w:rsid w:val="001C0E82"/>
    <w:rsid w:val="001D037E"/>
    <w:rsid w:val="001F267B"/>
    <w:rsid w:val="001F305F"/>
    <w:rsid w:val="0020149F"/>
    <w:rsid w:val="00203394"/>
    <w:rsid w:val="002133FF"/>
    <w:rsid w:val="00231209"/>
    <w:rsid w:val="00232778"/>
    <w:rsid w:val="00232945"/>
    <w:rsid w:val="00233340"/>
    <w:rsid w:val="00236778"/>
    <w:rsid w:val="00237513"/>
    <w:rsid w:val="00240BAB"/>
    <w:rsid w:val="00263BB2"/>
    <w:rsid w:val="0026632D"/>
    <w:rsid w:val="00267944"/>
    <w:rsid w:val="00287175"/>
    <w:rsid w:val="002A37D6"/>
    <w:rsid w:val="002A512B"/>
    <w:rsid w:val="002A6ABB"/>
    <w:rsid w:val="002B5A9D"/>
    <w:rsid w:val="002C3945"/>
    <w:rsid w:val="002C4FEF"/>
    <w:rsid w:val="002D131C"/>
    <w:rsid w:val="002D1B79"/>
    <w:rsid w:val="002D4E34"/>
    <w:rsid w:val="002D7267"/>
    <w:rsid w:val="002E2243"/>
    <w:rsid w:val="002E40B9"/>
    <w:rsid w:val="002F6AEE"/>
    <w:rsid w:val="0030430B"/>
    <w:rsid w:val="00305219"/>
    <w:rsid w:val="00310FC1"/>
    <w:rsid w:val="0031144E"/>
    <w:rsid w:val="00311B53"/>
    <w:rsid w:val="003131E4"/>
    <w:rsid w:val="00315336"/>
    <w:rsid w:val="00316B92"/>
    <w:rsid w:val="0031705E"/>
    <w:rsid w:val="003177D5"/>
    <w:rsid w:val="00320504"/>
    <w:rsid w:val="00332768"/>
    <w:rsid w:val="0033459C"/>
    <w:rsid w:val="003355D5"/>
    <w:rsid w:val="00335CA8"/>
    <w:rsid w:val="003360A6"/>
    <w:rsid w:val="00351278"/>
    <w:rsid w:val="00357229"/>
    <w:rsid w:val="00363524"/>
    <w:rsid w:val="0036560C"/>
    <w:rsid w:val="00373A68"/>
    <w:rsid w:val="00381240"/>
    <w:rsid w:val="00382DF8"/>
    <w:rsid w:val="003924C0"/>
    <w:rsid w:val="003933D2"/>
    <w:rsid w:val="00393BDB"/>
    <w:rsid w:val="00394FD0"/>
    <w:rsid w:val="003A1228"/>
    <w:rsid w:val="003A2B0F"/>
    <w:rsid w:val="003B52DA"/>
    <w:rsid w:val="003C1095"/>
    <w:rsid w:val="003C4517"/>
    <w:rsid w:val="003D5F1E"/>
    <w:rsid w:val="003D7267"/>
    <w:rsid w:val="003E1302"/>
    <w:rsid w:val="003E39A5"/>
    <w:rsid w:val="003E4A7D"/>
    <w:rsid w:val="003F24F5"/>
    <w:rsid w:val="003F2DD1"/>
    <w:rsid w:val="003F3CF1"/>
    <w:rsid w:val="003F610D"/>
    <w:rsid w:val="003F6342"/>
    <w:rsid w:val="003F7181"/>
    <w:rsid w:val="00406F38"/>
    <w:rsid w:val="004071AC"/>
    <w:rsid w:val="004078E2"/>
    <w:rsid w:val="00414BA1"/>
    <w:rsid w:val="00417EEA"/>
    <w:rsid w:val="00417FC3"/>
    <w:rsid w:val="00420234"/>
    <w:rsid w:val="004206DE"/>
    <w:rsid w:val="00421E46"/>
    <w:rsid w:val="0042617E"/>
    <w:rsid w:val="00426B42"/>
    <w:rsid w:val="004275B5"/>
    <w:rsid w:val="00430B91"/>
    <w:rsid w:val="00431415"/>
    <w:rsid w:val="00433E0E"/>
    <w:rsid w:val="0043479C"/>
    <w:rsid w:val="004363A2"/>
    <w:rsid w:val="00437DCC"/>
    <w:rsid w:val="004418D6"/>
    <w:rsid w:val="00441C53"/>
    <w:rsid w:val="00442076"/>
    <w:rsid w:val="004463C1"/>
    <w:rsid w:val="004524AD"/>
    <w:rsid w:val="00456918"/>
    <w:rsid w:val="00457E14"/>
    <w:rsid w:val="004615D7"/>
    <w:rsid w:val="004660E8"/>
    <w:rsid w:val="00467C40"/>
    <w:rsid w:val="00471804"/>
    <w:rsid w:val="00475A47"/>
    <w:rsid w:val="00476927"/>
    <w:rsid w:val="00480B45"/>
    <w:rsid w:val="00481304"/>
    <w:rsid w:val="004847C5"/>
    <w:rsid w:val="00491987"/>
    <w:rsid w:val="00493AC9"/>
    <w:rsid w:val="0049573A"/>
    <w:rsid w:val="00496E7C"/>
    <w:rsid w:val="00497E01"/>
    <w:rsid w:val="004A7F6B"/>
    <w:rsid w:val="004C0D35"/>
    <w:rsid w:val="004C2AFB"/>
    <w:rsid w:val="004D1AD6"/>
    <w:rsid w:val="004F0D1F"/>
    <w:rsid w:val="004F13A3"/>
    <w:rsid w:val="004F1973"/>
    <w:rsid w:val="004F2237"/>
    <w:rsid w:val="004F77BC"/>
    <w:rsid w:val="00500B73"/>
    <w:rsid w:val="005038A6"/>
    <w:rsid w:val="00503BA3"/>
    <w:rsid w:val="00505A8A"/>
    <w:rsid w:val="00505F58"/>
    <w:rsid w:val="00512357"/>
    <w:rsid w:val="005201E7"/>
    <w:rsid w:val="0052020C"/>
    <w:rsid w:val="00520BD5"/>
    <w:rsid w:val="00536884"/>
    <w:rsid w:val="00536BB5"/>
    <w:rsid w:val="0055110B"/>
    <w:rsid w:val="005524AF"/>
    <w:rsid w:val="00561BCA"/>
    <w:rsid w:val="00562893"/>
    <w:rsid w:val="005673C8"/>
    <w:rsid w:val="00570602"/>
    <w:rsid w:val="00570EC1"/>
    <w:rsid w:val="00570EE9"/>
    <w:rsid w:val="00571DEE"/>
    <w:rsid w:val="005878B3"/>
    <w:rsid w:val="0059087B"/>
    <w:rsid w:val="005917F5"/>
    <w:rsid w:val="00596438"/>
    <w:rsid w:val="00597557"/>
    <w:rsid w:val="005A7139"/>
    <w:rsid w:val="005B1B10"/>
    <w:rsid w:val="005B391D"/>
    <w:rsid w:val="005B41DF"/>
    <w:rsid w:val="005B5B1F"/>
    <w:rsid w:val="005B6FF5"/>
    <w:rsid w:val="005C100B"/>
    <w:rsid w:val="005C1AB5"/>
    <w:rsid w:val="005C425B"/>
    <w:rsid w:val="005C63A2"/>
    <w:rsid w:val="005D31FA"/>
    <w:rsid w:val="005F49BD"/>
    <w:rsid w:val="00603F6B"/>
    <w:rsid w:val="00606F74"/>
    <w:rsid w:val="006075F7"/>
    <w:rsid w:val="0061235C"/>
    <w:rsid w:val="006175C7"/>
    <w:rsid w:val="0061776F"/>
    <w:rsid w:val="006219D1"/>
    <w:rsid w:val="00624479"/>
    <w:rsid w:val="00624B48"/>
    <w:rsid w:val="00625619"/>
    <w:rsid w:val="006269B0"/>
    <w:rsid w:val="00641843"/>
    <w:rsid w:val="006421B9"/>
    <w:rsid w:val="00642B0D"/>
    <w:rsid w:val="00642C03"/>
    <w:rsid w:val="00644991"/>
    <w:rsid w:val="00645068"/>
    <w:rsid w:val="00647EE3"/>
    <w:rsid w:val="00653C57"/>
    <w:rsid w:val="006606FA"/>
    <w:rsid w:val="00662E0D"/>
    <w:rsid w:val="00663148"/>
    <w:rsid w:val="0066511B"/>
    <w:rsid w:val="006651AC"/>
    <w:rsid w:val="006657F2"/>
    <w:rsid w:val="00675B4B"/>
    <w:rsid w:val="00680538"/>
    <w:rsid w:val="00680E3B"/>
    <w:rsid w:val="00681533"/>
    <w:rsid w:val="00681BD7"/>
    <w:rsid w:val="0068550C"/>
    <w:rsid w:val="00687E2A"/>
    <w:rsid w:val="006915B8"/>
    <w:rsid w:val="00692BBE"/>
    <w:rsid w:val="006A5698"/>
    <w:rsid w:val="006A6A47"/>
    <w:rsid w:val="006B5FF3"/>
    <w:rsid w:val="006B628F"/>
    <w:rsid w:val="006C128B"/>
    <w:rsid w:val="006C2E85"/>
    <w:rsid w:val="006C6948"/>
    <w:rsid w:val="006C79E7"/>
    <w:rsid w:val="006D063D"/>
    <w:rsid w:val="006D6608"/>
    <w:rsid w:val="006D78E6"/>
    <w:rsid w:val="006E0E92"/>
    <w:rsid w:val="006E13CA"/>
    <w:rsid w:val="006E21B4"/>
    <w:rsid w:val="006E6D30"/>
    <w:rsid w:val="006F0605"/>
    <w:rsid w:val="006F180E"/>
    <w:rsid w:val="006F4277"/>
    <w:rsid w:val="006F6143"/>
    <w:rsid w:val="0070080E"/>
    <w:rsid w:val="00700E32"/>
    <w:rsid w:val="007029B6"/>
    <w:rsid w:val="00703309"/>
    <w:rsid w:val="007069A7"/>
    <w:rsid w:val="007115E1"/>
    <w:rsid w:val="00717616"/>
    <w:rsid w:val="007219D3"/>
    <w:rsid w:val="00723DCD"/>
    <w:rsid w:val="00726C52"/>
    <w:rsid w:val="007412C1"/>
    <w:rsid w:val="00742EF1"/>
    <w:rsid w:val="00754952"/>
    <w:rsid w:val="00762241"/>
    <w:rsid w:val="00767871"/>
    <w:rsid w:val="007725D2"/>
    <w:rsid w:val="0077675A"/>
    <w:rsid w:val="007768B0"/>
    <w:rsid w:val="00782B77"/>
    <w:rsid w:val="00786C82"/>
    <w:rsid w:val="00794A6A"/>
    <w:rsid w:val="00796C95"/>
    <w:rsid w:val="007B40D8"/>
    <w:rsid w:val="007B67D2"/>
    <w:rsid w:val="007C0448"/>
    <w:rsid w:val="007C263B"/>
    <w:rsid w:val="007C60AF"/>
    <w:rsid w:val="007D4553"/>
    <w:rsid w:val="007D4C5A"/>
    <w:rsid w:val="007F427E"/>
    <w:rsid w:val="0080016A"/>
    <w:rsid w:val="00806B01"/>
    <w:rsid w:val="008108DC"/>
    <w:rsid w:val="00822603"/>
    <w:rsid w:val="00826110"/>
    <w:rsid w:val="00826D87"/>
    <w:rsid w:val="00840F4F"/>
    <w:rsid w:val="00842783"/>
    <w:rsid w:val="008504E0"/>
    <w:rsid w:val="00851103"/>
    <w:rsid w:val="00854B15"/>
    <w:rsid w:val="00855CB6"/>
    <w:rsid w:val="00860EAE"/>
    <w:rsid w:val="008829CA"/>
    <w:rsid w:val="00883042"/>
    <w:rsid w:val="00884104"/>
    <w:rsid w:val="00890786"/>
    <w:rsid w:val="00891352"/>
    <w:rsid w:val="008924D2"/>
    <w:rsid w:val="00892B2A"/>
    <w:rsid w:val="00896AC5"/>
    <w:rsid w:val="008A08AD"/>
    <w:rsid w:val="008A46DA"/>
    <w:rsid w:val="008A6B1E"/>
    <w:rsid w:val="008C21AD"/>
    <w:rsid w:val="008C566F"/>
    <w:rsid w:val="008D216D"/>
    <w:rsid w:val="008D31BA"/>
    <w:rsid w:val="008D6124"/>
    <w:rsid w:val="008D6634"/>
    <w:rsid w:val="008E0338"/>
    <w:rsid w:val="008E25F6"/>
    <w:rsid w:val="008E3FF6"/>
    <w:rsid w:val="008E443A"/>
    <w:rsid w:val="008E4AD9"/>
    <w:rsid w:val="008E58A0"/>
    <w:rsid w:val="008F218A"/>
    <w:rsid w:val="00902240"/>
    <w:rsid w:val="00902CA4"/>
    <w:rsid w:val="00903583"/>
    <w:rsid w:val="00903A87"/>
    <w:rsid w:val="00903ADC"/>
    <w:rsid w:val="00905663"/>
    <w:rsid w:val="009111DF"/>
    <w:rsid w:val="009179FD"/>
    <w:rsid w:val="009269E2"/>
    <w:rsid w:val="00927062"/>
    <w:rsid w:val="00927EAB"/>
    <w:rsid w:val="00930208"/>
    <w:rsid w:val="00933E64"/>
    <w:rsid w:val="00935273"/>
    <w:rsid w:val="0093719D"/>
    <w:rsid w:val="009376B2"/>
    <w:rsid w:val="00944A3D"/>
    <w:rsid w:val="00946EB1"/>
    <w:rsid w:val="00951819"/>
    <w:rsid w:val="00952C87"/>
    <w:rsid w:val="0095400C"/>
    <w:rsid w:val="00954B72"/>
    <w:rsid w:val="00955E9B"/>
    <w:rsid w:val="009619B4"/>
    <w:rsid w:val="00961AAA"/>
    <w:rsid w:val="00971AAB"/>
    <w:rsid w:val="0097440E"/>
    <w:rsid w:val="00975B5A"/>
    <w:rsid w:val="00982D36"/>
    <w:rsid w:val="00984359"/>
    <w:rsid w:val="00985630"/>
    <w:rsid w:val="009A1A53"/>
    <w:rsid w:val="009A2296"/>
    <w:rsid w:val="009A2653"/>
    <w:rsid w:val="009A27A9"/>
    <w:rsid w:val="009B339E"/>
    <w:rsid w:val="009B33E5"/>
    <w:rsid w:val="009B56BD"/>
    <w:rsid w:val="009B5D67"/>
    <w:rsid w:val="009B686D"/>
    <w:rsid w:val="009B717C"/>
    <w:rsid w:val="009C3B46"/>
    <w:rsid w:val="009C46F4"/>
    <w:rsid w:val="009C55E1"/>
    <w:rsid w:val="009C59AA"/>
    <w:rsid w:val="009C5D07"/>
    <w:rsid w:val="009D28F2"/>
    <w:rsid w:val="009D2EB1"/>
    <w:rsid w:val="009D54ED"/>
    <w:rsid w:val="009E112D"/>
    <w:rsid w:val="009E167D"/>
    <w:rsid w:val="009E3C6E"/>
    <w:rsid w:val="009E49BD"/>
    <w:rsid w:val="009E7331"/>
    <w:rsid w:val="009F050F"/>
    <w:rsid w:val="009F2A1A"/>
    <w:rsid w:val="009F491D"/>
    <w:rsid w:val="00A01BC8"/>
    <w:rsid w:val="00A01C70"/>
    <w:rsid w:val="00A05D43"/>
    <w:rsid w:val="00A13463"/>
    <w:rsid w:val="00A13E9F"/>
    <w:rsid w:val="00A1664A"/>
    <w:rsid w:val="00A2796B"/>
    <w:rsid w:val="00A311B3"/>
    <w:rsid w:val="00A321B7"/>
    <w:rsid w:val="00A367B5"/>
    <w:rsid w:val="00A36924"/>
    <w:rsid w:val="00A424AD"/>
    <w:rsid w:val="00A443FF"/>
    <w:rsid w:val="00A46067"/>
    <w:rsid w:val="00A60FDC"/>
    <w:rsid w:val="00A61958"/>
    <w:rsid w:val="00A7235F"/>
    <w:rsid w:val="00A84678"/>
    <w:rsid w:val="00A848A2"/>
    <w:rsid w:val="00A850EE"/>
    <w:rsid w:val="00A91C45"/>
    <w:rsid w:val="00A93BC6"/>
    <w:rsid w:val="00A9793C"/>
    <w:rsid w:val="00AA286E"/>
    <w:rsid w:val="00AA3CB0"/>
    <w:rsid w:val="00AA6A95"/>
    <w:rsid w:val="00AB5C02"/>
    <w:rsid w:val="00AC09A0"/>
    <w:rsid w:val="00AC7362"/>
    <w:rsid w:val="00AC7DC7"/>
    <w:rsid w:val="00AD0E2F"/>
    <w:rsid w:val="00AD229E"/>
    <w:rsid w:val="00AD6C19"/>
    <w:rsid w:val="00AD7359"/>
    <w:rsid w:val="00AD7AE1"/>
    <w:rsid w:val="00AE030F"/>
    <w:rsid w:val="00AE110D"/>
    <w:rsid w:val="00AE22E9"/>
    <w:rsid w:val="00AE29D9"/>
    <w:rsid w:val="00AE3068"/>
    <w:rsid w:val="00AE5089"/>
    <w:rsid w:val="00AF3CF9"/>
    <w:rsid w:val="00AF4ED5"/>
    <w:rsid w:val="00B00782"/>
    <w:rsid w:val="00B106C1"/>
    <w:rsid w:val="00B1127A"/>
    <w:rsid w:val="00B12A75"/>
    <w:rsid w:val="00B13BA1"/>
    <w:rsid w:val="00B15B71"/>
    <w:rsid w:val="00B20FDB"/>
    <w:rsid w:val="00B219CB"/>
    <w:rsid w:val="00B22A9D"/>
    <w:rsid w:val="00B23C38"/>
    <w:rsid w:val="00B255EE"/>
    <w:rsid w:val="00B31654"/>
    <w:rsid w:val="00B31F52"/>
    <w:rsid w:val="00B336BD"/>
    <w:rsid w:val="00B344D0"/>
    <w:rsid w:val="00B36173"/>
    <w:rsid w:val="00B44E6C"/>
    <w:rsid w:val="00B4701D"/>
    <w:rsid w:val="00B56EA7"/>
    <w:rsid w:val="00B61949"/>
    <w:rsid w:val="00B62268"/>
    <w:rsid w:val="00B727F2"/>
    <w:rsid w:val="00B73E63"/>
    <w:rsid w:val="00B87B13"/>
    <w:rsid w:val="00B9192B"/>
    <w:rsid w:val="00B939F7"/>
    <w:rsid w:val="00B94A19"/>
    <w:rsid w:val="00B95A82"/>
    <w:rsid w:val="00B97DA4"/>
    <w:rsid w:val="00BB08AF"/>
    <w:rsid w:val="00BC2F1C"/>
    <w:rsid w:val="00BC4F96"/>
    <w:rsid w:val="00BD28C8"/>
    <w:rsid w:val="00BD353F"/>
    <w:rsid w:val="00BD5AB3"/>
    <w:rsid w:val="00BE0F61"/>
    <w:rsid w:val="00BF0882"/>
    <w:rsid w:val="00BF4239"/>
    <w:rsid w:val="00C009B7"/>
    <w:rsid w:val="00C03C0D"/>
    <w:rsid w:val="00C03C78"/>
    <w:rsid w:val="00C04F8B"/>
    <w:rsid w:val="00C135CC"/>
    <w:rsid w:val="00C173BA"/>
    <w:rsid w:val="00C2068C"/>
    <w:rsid w:val="00C25B4D"/>
    <w:rsid w:val="00C303C6"/>
    <w:rsid w:val="00C32F10"/>
    <w:rsid w:val="00C41091"/>
    <w:rsid w:val="00C44F8B"/>
    <w:rsid w:val="00C45F65"/>
    <w:rsid w:val="00C57DEA"/>
    <w:rsid w:val="00C71843"/>
    <w:rsid w:val="00C7323A"/>
    <w:rsid w:val="00C766A6"/>
    <w:rsid w:val="00C921F9"/>
    <w:rsid w:val="00C92719"/>
    <w:rsid w:val="00C93084"/>
    <w:rsid w:val="00C97938"/>
    <w:rsid w:val="00CA52D9"/>
    <w:rsid w:val="00CA60C2"/>
    <w:rsid w:val="00CB0059"/>
    <w:rsid w:val="00CB113E"/>
    <w:rsid w:val="00CB5DD6"/>
    <w:rsid w:val="00CB7ACF"/>
    <w:rsid w:val="00CC05E8"/>
    <w:rsid w:val="00CC4393"/>
    <w:rsid w:val="00CC4983"/>
    <w:rsid w:val="00CC759E"/>
    <w:rsid w:val="00CD7C8F"/>
    <w:rsid w:val="00D0512E"/>
    <w:rsid w:val="00D11F54"/>
    <w:rsid w:val="00D120C6"/>
    <w:rsid w:val="00D12EC2"/>
    <w:rsid w:val="00D14879"/>
    <w:rsid w:val="00D168A2"/>
    <w:rsid w:val="00D17F41"/>
    <w:rsid w:val="00D20CB4"/>
    <w:rsid w:val="00D333C3"/>
    <w:rsid w:val="00D33875"/>
    <w:rsid w:val="00D36FFD"/>
    <w:rsid w:val="00D51434"/>
    <w:rsid w:val="00D62960"/>
    <w:rsid w:val="00D67E79"/>
    <w:rsid w:val="00D820E7"/>
    <w:rsid w:val="00D825F1"/>
    <w:rsid w:val="00D8395F"/>
    <w:rsid w:val="00D90CD4"/>
    <w:rsid w:val="00D9562C"/>
    <w:rsid w:val="00D96666"/>
    <w:rsid w:val="00DA3040"/>
    <w:rsid w:val="00DA5DB7"/>
    <w:rsid w:val="00DB0884"/>
    <w:rsid w:val="00DC08FF"/>
    <w:rsid w:val="00DC434B"/>
    <w:rsid w:val="00DC6DAB"/>
    <w:rsid w:val="00DD596C"/>
    <w:rsid w:val="00DD6F19"/>
    <w:rsid w:val="00DD71B2"/>
    <w:rsid w:val="00DE5C5E"/>
    <w:rsid w:val="00DE790B"/>
    <w:rsid w:val="00DF122A"/>
    <w:rsid w:val="00DF1980"/>
    <w:rsid w:val="00DF56BD"/>
    <w:rsid w:val="00E07E72"/>
    <w:rsid w:val="00E30650"/>
    <w:rsid w:val="00E306AE"/>
    <w:rsid w:val="00E35002"/>
    <w:rsid w:val="00E35B3E"/>
    <w:rsid w:val="00E36D2B"/>
    <w:rsid w:val="00E404C9"/>
    <w:rsid w:val="00E54978"/>
    <w:rsid w:val="00E57064"/>
    <w:rsid w:val="00E61139"/>
    <w:rsid w:val="00E620CC"/>
    <w:rsid w:val="00E63939"/>
    <w:rsid w:val="00E668AD"/>
    <w:rsid w:val="00E74CD2"/>
    <w:rsid w:val="00E8355A"/>
    <w:rsid w:val="00E95FBE"/>
    <w:rsid w:val="00EA6ECA"/>
    <w:rsid w:val="00EA75DC"/>
    <w:rsid w:val="00EB3E60"/>
    <w:rsid w:val="00EC1569"/>
    <w:rsid w:val="00EC4292"/>
    <w:rsid w:val="00ED6987"/>
    <w:rsid w:val="00EE59D0"/>
    <w:rsid w:val="00EE5B80"/>
    <w:rsid w:val="00EE6032"/>
    <w:rsid w:val="00EE6251"/>
    <w:rsid w:val="00EF403E"/>
    <w:rsid w:val="00F13285"/>
    <w:rsid w:val="00F17207"/>
    <w:rsid w:val="00F2320C"/>
    <w:rsid w:val="00F325E6"/>
    <w:rsid w:val="00F367BD"/>
    <w:rsid w:val="00F409CB"/>
    <w:rsid w:val="00F51368"/>
    <w:rsid w:val="00F541A8"/>
    <w:rsid w:val="00F54C10"/>
    <w:rsid w:val="00F60241"/>
    <w:rsid w:val="00F61D20"/>
    <w:rsid w:val="00F6625B"/>
    <w:rsid w:val="00F73EF9"/>
    <w:rsid w:val="00F7711E"/>
    <w:rsid w:val="00F847B5"/>
    <w:rsid w:val="00F96869"/>
    <w:rsid w:val="00FA2361"/>
    <w:rsid w:val="00FA251E"/>
    <w:rsid w:val="00FA4540"/>
    <w:rsid w:val="00FB56EF"/>
    <w:rsid w:val="00FB5ED0"/>
    <w:rsid w:val="00FB6C25"/>
    <w:rsid w:val="00FC038C"/>
    <w:rsid w:val="00FC2B14"/>
    <w:rsid w:val="00FC4BBB"/>
    <w:rsid w:val="00FC660E"/>
    <w:rsid w:val="00FC6C70"/>
    <w:rsid w:val="00FD0DC6"/>
    <w:rsid w:val="00FD1268"/>
    <w:rsid w:val="00FD7502"/>
    <w:rsid w:val="00FE7A90"/>
    <w:rsid w:val="00FF0FBC"/>
    <w:rsid w:val="00FF43A6"/>
    <w:rsid w:val="018E25B4"/>
    <w:rsid w:val="01CE280C"/>
    <w:rsid w:val="01FD5A75"/>
    <w:rsid w:val="03A90A63"/>
    <w:rsid w:val="047C6D6D"/>
    <w:rsid w:val="05E23258"/>
    <w:rsid w:val="072A19D5"/>
    <w:rsid w:val="072D15C8"/>
    <w:rsid w:val="08102C35"/>
    <w:rsid w:val="083F54F9"/>
    <w:rsid w:val="08413769"/>
    <w:rsid w:val="099A5001"/>
    <w:rsid w:val="0A4C126F"/>
    <w:rsid w:val="0B487268"/>
    <w:rsid w:val="0B7A5DF9"/>
    <w:rsid w:val="0B8F162E"/>
    <w:rsid w:val="0CA9299F"/>
    <w:rsid w:val="0D97739A"/>
    <w:rsid w:val="0DD9290F"/>
    <w:rsid w:val="0EAD36A7"/>
    <w:rsid w:val="0F8C2C8D"/>
    <w:rsid w:val="0FD66030"/>
    <w:rsid w:val="0FEA0949"/>
    <w:rsid w:val="10D7002E"/>
    <w:rsid w:val="1151445E"/>
    <w:rsid w:val="119C511E"/>
    <w:rsid w:val="11A3682B"/>
    <w:rsid w:val="11D50B39"/>
    <w:rsid w:val="11F02824"/>
    <w:rsid w:val="128D4367"/>
    <w:rsid w:val="12907582"/>
    <w:rsid w:val="129D4629"/>
    <w:rsid w:val="12BF3B27"/>
    <w:rsid w:val="12E61056"/>
    <w:rsid w:val="13D838A8"/>
    <w:rsid w:val="14DD483B"/>
    <w:rsid w:val="15BD4AE9"/>
    <w:rsid w:val="15C81E56"/>
    <w:rsid w:val="164851A6"/>
    <w:rsid w:val="1652230F"/>
    <w:rsid w:val="17B024FE"/>
    <w:rsid w:val="17E24350"/>
    <w:rsid w:val="17F117A3"/>
    <w:rsid w:val="197F6ABE"/>
    <w:rsid w:val="1BF1157D"/>
    <w:rsid w:val="1C3F0AE4"/>
    <w:rsid w:val="1C7A3677"/>
    <w:rsid w:val="1CAC1941"/>
    <w:rsid w:val="1CD01F91"/>
    <w:rsid w:val="1D122B2E"/>
    <w:rsid w:val="1E0B6C90"/>
    <w:rsid w:val="1F314A65"/>
    <w:rsid w:val="2022196D"/>
    <w:rsid w:val="20B5361D"/>
    <w:rsid w:val="20BB1DB4"/>
    <w:rsid w:val="20D06039"/>
    <w:rsid w:val="21292150"/>
    <w:rsid w:val="22BC1C9E"/>
    <w:rsid w:val="23B74214"/>
    <w:rsid w:val="244E5BC6"/>
    <w:rsid w:val="25DD21B3"/>
    <w:rsid w:val="25F2550C"/>
    <w:rsid w:val="26236E36"/>
    <w:rsid w:val="26D439F4"/>
    <w:rsid w:val="27186D03"/>
    <w:rsid w:val="27E3762C"/>
    <w:rsid w:val="27EF40FF"/>
    <w:rsid w:val="28035CC9"/>
    <w:rsid w:val="2AA0262C"/>
    <w:rsid w:val="2AB45D2F"/>
    <w:rsid w:val="2C2C17BC"/>
    <w:rsid w:val="2CC51B87"/>
    <w:rsid w:val="2CD13F3A"/>
    <w:rsid w:val="2CD80D47"/>
    <w:rsid w:val="2D4E7208"/>
    <w:rsid w:val="2E955D29"/>
    <w:rsid w:val="31035B52"/>
    <w:rsid w:val="31B01081"/>
    <w:rsid w:val="3383074C"/>
    <w:rsid w:val="34BE1C7E"/>
    <w:rsid w:val="34FC0BB7"/>
    <w:rsid w:val="3507141A"/>
    <w:rsid w:val="35AE1415"/>
    <w:rsid w:val="36142A80"/>
    <w:rsid w:val="365022C5"/>
    <w:rsid w:val="365976FD"/>
    <w:rsid w:val="3663237C"/>
    <w:rsid w:val="367F6C8E"/>
    <w:rsid w:val="369A59B6"/>
    <w:rsid w:val="36BD15E3"/>
    <w:rsid w:val="371B2546"/>
    <w:rsid w:val="379224A8"/>
    <w:rsid w:val="383D0440"/>
    <w:rsid w:val="38EF7F95"/>
    <w:rsid w:val="39A614CB"/>
    <w:rsid w:val="3A4B6966"/>
    <w:rsid w:val="3B154D8C"/>
    <w:rsid w:val="3BFD7FFA"/>
    <w:rsid w:val="3C465226"/>
    <w:rsid w:val="3D066557"/>
    <w:rsid w:val="3D3316B8"/>
    <w:rsid w:val="3D3C38C1"/>
    <w:rsid w:val="3D6A400F"/>
    <w:rsid w:val="3DA16A55"/>
    <w:rsid w:val="3E4C7F12"/>
    <w:rsid w:val="3E634E3C"/>
    <w:rsid w:val="3F730679"/>
    <w:rsid w:val="3F841629"/>
    <w:rsid w:val="3F864A22"/>
    <w:rsid w:val="424D161D"/>
    <w:rsid w:val="42FD5613"/>
    <w:rsid w:val="43535F48"/>
    <w:rsid w:val="43832BB6"/>
    <w:rsid w:val="438422AA"/>
    <w:rsid w:val="43B57579"/>
    <w:rsid w:val="440F0EBF"/>
    <w:rsid w:val="460D455B"/>
    <w:rsid w:val="46204E8A"/>
    <w:rsid w:val="46BD5BCA"/>
    <w:rsid w:val="46CB0360"/>
    <w:rsid w:val="47835315"/>
    <w:rsid w:val="47CC6474"/>
    <w:rsid w:val="48594FB1"/>
    <w:rsid w:val="48B96A30"/>
    <w:rsid w:val="49566C73"/>
    <w:rsid w:val="4A2C72F7"/>
    <w:rsid w:val="4A735089"/>
    <w:rsid w:val="4B374F60"/>
    <w:rsid w:val="4B493A8A"/>
    <w:rsid w:val="4B6F6221"/>
    <w:rsid w:val="4B950E46"/>
    <w:rsid w:val="4C644CD6"/>
    <w:rsid w:val="4D4154F7"/>
    <w:rsid w:val="4D510530"/>
    <w:rsid w:val="4D6E7D47"/>
    <w:rsid w:val="4D7039C9"/>
    <w:rsid w:val="4D9F02E7"/>
    <w:rsid w:val="4E146C65"/>
    <w:rsid w:val="4EDD04CE"/>
    <w:rsid w:val="50083021"/>
    <w:rsid w:val="505C0F87"/>
    <w:rsid w:val="50874DF7"/>
    <w:rsid w:val="52676685"/>
    <w:rsid w:val="52B107AA"/>
    <w:rsid w:val="53012E37"/>
    <w:rsid w:val="53DA2475"/>
    <w:rsid w:val="541A206B"/>
    <w:rsid w:val="547C592D"/>
    <w:rsid w:val="548C6D1C"/>
    <w:rsid w:val="570D752D"/>
    <w:rsid w:val="573F3FE1"/>
    <w:rsid w:val="57A61D12"/>
    <w:rsid w:val="591D679C"/>
    <w:rsid w:val="59C44E52"/>
    <w:rsid w:val="5AC558FB"/>
    <w:rsid w:val="5AE0016A"/>
    <w:rsid w:val="5C7A1D7D"/>
    <w:rsid w:val="5CB27E46"/>
    <w:rsid w:val="5D31499D"/>
    <w:rsid w:val="5E195109"/>
    <w:rsid w:val="5E74305A"/>
    <w:rsid w:val="5F1E7327"/>
    <w:rsid w:val="5F5A2053"/>
    <w:rsid w:val="60500A62"/>
    <w:rsid w:val="605D27B5"/>
    <w:rsid w:val="61134876"/>
    <w:rsid w:val="6142760A"/>
    <w:rsid w:val="614A4A93"/>
    <w:rsid w:val="616C541C"/>
    <w:rsid w:val="619160CC"/>
    <w:rsid w:val="62030DB3"/>
    <w:rsid w:val="62612902"/>
    <w:rsid w:val="627A1826"/>
    <w:rsid w:val="63277479"/>
    <w:rsid w:val="6360453D"/>
    <w:rsid w:val="63736255"/>
    <w:rsid w:val="63AD4D7B"/>
    <w:rsid w:val="64771CA4"/>
    <w:rsid w:val="648E023F"/>
    <w:rsid w:val="6596271A"/>
    <w:rsid w:val="670A3761"/>
    <w:rsid w:val="6752161E"/>
    <w:rsid w:val="67962B2C"/>
    <w:rsid w:val="67BB0E7B"/>
    <w:rsid w:val="68C37F30"/>
    <w:rsid w:val="69AA5150"/>
    <w:rsid w:val="6B44724E"/>
    <w:rsid w:val="6BFC55D7"/>
    <w:rsid w:val="6DEC0ACA"/>
    <w:rsid w:val="6E66566A"/>
    <w:rsid w:val="6FF63A26"/>
    <w:rsid w:val="70597B9A"/>
    <w:rsid w:val="706B5DB0"/>
    <w:rsid w:val="72CF1D17"/>
    <w:rsid w:val="73213AA8"/>
    <w:rsid w:val="733E49BF"/>
    <w:rsid w:val="73B70560"/>
    <w:rsid w:val="74A67E7F"/>
    <w:rsid w:val="756D7CC5"/>
    <w:rsid w:val="760F2BA7"/>
    <w:rsid w:val="767D1A75"/>
    <w:rsid w:val="769B6150"/>
    <w:rsid w:val="76FF1D05"/>
    <w:rsid w:val="77CA581F"/>
    <w:rsid w:val="77F866D1"/>
    <w:rsid w:val="78A43C58"/>
    <w:rsid w:val="78B80904"/>
    <w:rsid w:val="79634BA8"/>
    <w:rsid w:val="798C1481"/>
    <w:rsid w:val="7A1F59EF"/>
    <w:rsid w:val="7A292A93"/>
    <w:rsid w:val="7A98322D"/>
    <w:rsid w:val="7B850502"/>
    <w:rsid w:val="7BBF4923"/>
    <w:rsid w:val="7BE317A6"/>
    <w:rsid w:val="7CBD32CC"/>
    <w:rsid w:val="7D3D4580"/>
    <w:rsid w:val="7DC130D3"/>
    <w:rsid w:val="7DD33FF7"/>
    <w:rsid w:val="7DE4698C"/>
    <w:rsid w:val="7DF96CE7"/>
    <w:rsid w:val="7ECB2BD2"/>
    <w:rsid w:val="7EFE392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paragraph" w:styleId="4">
    <w:name w:val="heading 3"/>
    <w:basedOn w:val="1"/>
    <w:next w:val="1"/>
    <w:link w:val="16"/>
    <w:unhideWhenUsed/>
    <w:qFormat/>
    <w:uiPriority w:val="0"/>
    <w:pPr>
      <w:keepNext/>
      <w:keepLines/>
      <w:spacing w:before="260" w:after="260" w:line="416" w:lineRule="auto"/>
      <w:outlineLvl w:val="2"/>
    </w:pPr>
    <w:rPr>
      <w:b/>
      <w:bCs/>
      <w:sz w:val="28"/>
      <w:szCs w:val="32"/>
    </w:rPr>
  </w:style>
  <w:style w:type="character" w:default="1" w:styleId="13">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5">
    <w:name w:val="Balloon Text"/>
    <w:basedOn w:val="1"/>
    <w:link w:val="17"/>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oc 1"/>
    <w:basedOn w:val="1"/>
    <w:next w:val="1"/>
    <w:qFormat/>
    <w:uiPriority w:val="39"/>
  </w:style>
  <w:style w:type="paragraph" w:styleId="9">
    <w:name w:val="toc 2"/>
    <w:basedOn w:val="1"/>
    <w:next w:val="1"/>
    <w:qFormat/>
    <w:uiPriority w:val="39"/>
    <w:pPr>
      <w:ind w:left="420" w:leftChars="200"/>
    </w:pPr>
    <w:rPr>
      <w:sz w:val="24"/>
    </w:rPr>
  </w:style>
  <w:style w:type="paragraph" w:styleId="10">
    <w:name w:val="Normal (Web)"/>
    <w:basedOn w:val="1"/>
    <w:qFormat/>
    <w:uiPriority w:val="99"/>
    <w:pPr>
      <w:spacing w:beforeAutospacing="1" w:afterAutospacing="1"/>
      <w:jc w:val="left"/>
    </w:pPr>
    <w:rPr>
      <w:rFonts w:cs="Times New Roman"/>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Strong"/>
    <w:basedOn w:val="13"/>
    <w:qFormat/>
    <w:uiPriority w:val="22"/>
    <w:rPr>
      <w:b/>
    </w:rPr>
  </w:style>
  <w:style w:type="character" w:styleId="15">
    <w:name w:val="Hyperlink"/>
    <w:basedOn w:val="13"/>
    <w:qFormat/>
    <w:uiPriority w:val="99"/>
    <w:rPr>
      <w:color w:val="0000FF"/>
      <w:u w:val="single"/>
    </w:rPr>
  </w:style>
  <w:style w:type="character" w:customStyle="1" w:styleId="16">
    <w:name w:val="标题 3 字符"/>
    <w:basedOn w:val="13"/>
    <w:link w:val="4"/>
    <w:qFormat/>
    <w:uiPriority w:val="0"/>
    <w:rPr>
      <w:rFonts w:asciiTheme="minorHAnsi" w:hAnsiTheme="minorHAnsi" w:eastAsiaTheme="minorEastAsia" w:cstheme="minorBidi"/>
      <w:b/>
      <w:bCs/>
      <w:kern w:val="2"/>
      <w:sz w:val="28"/>
      <w:szCs w:val="32"/>
    </w:rPr>
  </w:style>
  <w:style w:type="character" w:customStyle="1" w:styleId="17">
    <w:name w:val="批注框文本 字符"/>
    <w:basedOn w:val="13"/>
    <w:link w:val="5"/>
    <w:qFormat/>
    <w:uiPriority w:val="0"/>
    <w:rPr>
      <w:rFonts w:asciiTheme="minorHAnsi" w:hAnsiTheme="minorHAnsi" w:eastAsiaTheme="minorEastAsia" w:cstheme="minorBidi"/>
      <w:kern w:val="2"/>
      <w:sz w:val="18"/>
      <w:szCs w:val="18"/>
    </w:r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156E8FE-FE8E-44F2-A075-0CFC08427777}">
  <ds:schemaRefs/>
</ds:datastoreItem>
</file>

<file path=docProps/app.xml><?xml version="1.0" encoding="utf-8"?>
<Properties xmlns="http://schemas.openxmlformats.org/officeDocument/2006/extended-properties" xmlns:vt="http://schemas.openxmlformats.org/officeDocument/2006/docPropsVTypes">
  <Template>Normal.dotm</Template>
  <Pages>25</Pages>
  <Words>2119</Words>
  <Characters>12081</Characters>
  <Lines>100</Lines>
  <Paragraphs>28</Paragraphs>
  <TotalTime>3</TotalTime>
  <ScaleCrop>false</ScaleCrop>
  <LinksUpToDate>false</LinksUpToDate>
  <CharactersWithSpaces>14172</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2023-04-04T05:21:00Z</dcterms:created>
  <dc:creator>豆豆</dc:creator>
  <cp:lastModifiedBy>Administrator</cp:lastModifiedBy>
  <dcterms:modified xsi:type="dcterms:W3CDTF">2025-02-17T02:16:51Z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99F2D6D5062C4FD99C329DB69F99F789</vt:lpwstr>
  </property>
</Properties>
</file>